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8AD281" w14:textId="6FC6C5F3" w:rsidR="00C42E0B" w:rsidRPr="00E21881" w:rsidRDefault="00C42E0B" w:rsidP="000D6E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E21881">
        <w:rPr>
          <w:rFonts w:ascii="Times New Roman" w:hAnsi="Times New Roman" w:cs="Times New Roman"/>
          <w:bCs/>
        </w:rPr>
        <w:t>Załącznik</w:t>
      </w:r>
      <w:r w:rsidR="00A862A6" w:rsidRPr="00E21881">
        <w:rPr>
          <w:rFonts w:ascii="Times New Roman" w:hAnsi="Times New Roman" w:cs="Times New Roman"/>
          <w:bCs/>
        </w:rPr>
        <w:t xml:space="preserve"> </w:t>
      </w:r>
      <w:r w:rsidRPr="00E21881">
        <w:rPr>
          <w:rFonts w:ascii="Times New Roman" w:hAnsi="Times New Roman" w:cs="Times New Roman"/>
          <w:bCs/>
        </w:rPr>
        <w:t>B.56</w:t>
      </w:r>
      <w:r w:rsidR="00CF4AE1" w:rsidRPr="00E21881">
        <w:rPr>
          <w:rFonts w:ascii="Times New Roman" w:hAnsi="Times New Roman" w:cs="Times New Roman"/>
          <w:bCs/>
        </w:rPr>
        <w:t>.</w:t>
      </w:r>
    </w:p>
    <w:p w14:paraId="53BA7DB9" w14:textId="77777777" w:rsidR="00C42E0B" w:rsidRPr="00E21881" w:rsidRDefault="00C42E0B" w:rsidP="000D6E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</w:p>
    <w:p w14:paraId="3475FA66" w14:textId="784F14B0" w:rsidR="00491560" w:rsidRPr="00E21881" w:rsidRDefault="00491560" w:rsidP="004C6726">
      <w:pPr>
        <w:autoSpaceDE w:val="0"/>
        <w:autoSpaceDN w:val="0"/>
        <w:adjustRightInd w:val="0"/>
        <w:spacing w:after="240" w:line="240" w:lineRule="auto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bookmarkStart w:id="0" w:name="_Hlk110000437"/>
      <w:r w:rsidRPr="00E21881">
        <w:rPr>
          <w:rFonts w:ascii="Times New Roman" w:eastAsia="Times New Roman" w:hAnsi="Times New Roman" w:cs="Times New Roman"/>
          <w:b/>
          <w:bCs/>
          <w:sz w:val="28"/>
          <w:szCs w:val="20"/>
        </w:rPr>
        <w:t>LECZENIE</w:t>
      </w:r>
      <w:r w:rsidR="00A862A6" w:rsidRPr="00E21881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</w:t>
      </w:r>
      <w:r w:rsidR="00B92CB9" w:rsidRPr="00E21881">
        <w:rPr>
          <w:rFonts w:ascii="Times New Roman" w:eastAsia="Times New Roman" w:hAnsi="Times New Roman" w:cs="Times New Roman"/>
          <w:b/>
          <w:bCs/>
          <w:sz w:val="28"/>
          <w:szCs w:val="20"/>
        </w:rPr>
        <w:t>CHORYCH</w:t>
      </w:r>
      <w:r w:rsidR="00A862A6" w:rsidRPr="00E21881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</w:t>
      </w:r>
      <w:r w:rsidR="00B92CB9" w:rsidRPr="00E21881">
        <w:rPr>
          <w:rFonts w:ascii="Times New Roman" w:eastAsia="Times New Roman" w:hAnsi="Times New Roman" w:cs="Times New Roman"/>
          <w:b/>
          <w:bCs/>
          <w:sz w:val="28"/>
          <w:szCs w:val="20"/>
        </w:rPr>
        <w:t>NA</w:t>
      </w:r>
      <w:r w:rsidR="00A862A6" w:rsidRPr="00E21881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</w:t>
      </w:r>
      <w:r w:rsidRPr="00E21881">
        <w:rPr>
          <w:rFonts w:ascii="Times New Roman" w:eastAsia="Times New Roman" w:hAnsi="Times New Roman" w:cs="Times New Roman"/>
          <w:b/>
          <w:bCs/>
          <w:sz w:val="28"/>
          <w:szCs w:val="20"/>
        </w:rPr>
        <w:t>RAKA</w:t>
      </w:r>
      <w:r w:rsidR="00A862A6" w:rsidRPr="00E21881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</w:t>
      </w:r>
      <w:r w:rsidRPr="00E21881">
        <w:rPr>
          <w:rFonts w:ascii="Times New Roman" w:eastAsia="Times New Roman" w:hAnsi="Times New Roman" w:cs="Times New Roman"/>
          <w:b/>
          <w:bCs/>
          <w:sz w:val="28"/>
          <w:szCs w:val="20"/>
        </w:rPr>
        <w:t>GRUCZOŁU</w:t>
      </w:r>
      <w:r w:rsidR="00A862A6" w:rsidRPr="00E21881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</w:t>
      </w:r>
      <w:r w:rsidRPr="00E21881">
        <w:rPr>
          <w:rFonts w:ascii="Times New Roman" w:eastAsia="Times New Roman" w:hAnsi="Times New Roman" w:cs="Times New Roman"/>
          <w:b/>
          <w:bCs/>
          <w:sz w:val="28"/>
          <w:szCs w:val="20"/>
        </w:rPr>
        <w:t>KROKOWEGO</w:t>
      </w:r>
      <w:r w:rsidR="00A862A6" w:rsidRPr="00E21881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</w:t>
      </w:r>
      <w:r w:rsidRPr="00E21881">
        <w:rPr>
          <w:rFonts w:ascii="Times New Roman" w:eastAsia="Times New Roman" w:hAnsi="Times New Roman" w:cs="Times New Roman"/>
          <w:b/>
          <w:bCs/>
          <w:sz w:val="28"/>
          <w:szCs w:val="20"/>
        </w:rPr>
        <w:t>(ICD-10</w:t>
      </w:r>
      <w:r w:rsidR="00772B8E" w:rsidRPr="00E21881">
        <w:rPr>
          <w:rFonts w:ascii="Times New Roman" w:eastAsia="Times New Roman" w:hAnsi="Times New Roman" w:cs="Times New Roman"/>
          <w:b/>
          <w:bCs/>
          <w:sz w:val="28"/>
          <w:szCs w:val="20"/>
        </w:rPr>
        <w:t>:</w:t>
      </w:r>
      <w:r w:rsidR="00A862A6" w:rsidRPr="00E21881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</w:t>
      </w:r>
      <w:r w:rsidRPr="00E21881">
        <w:rPr>
          <w:rFonts w:ascii="Times New Roman" w:eastAsia="Times New Roman" w:hAnsi="Times New Roman" w:cs="Times New Roman"/>
          <w:b/>
          <w:bCs/>
          <w:sz w:val="28"/>
          <w:szCs w:val="20"/>
        </w:rPr>
        <w:t>C61)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6798"/>
        <w:gridCol w:w="4364"/>
        <w:gridCol w:w="4226"/>
      </w:tblGrid>
      <w:tr w:rsidR="00491560" w:rsidRPr="00E21881" w14:paraId="707334B3" w14:textId="77777777" w:rsidTr="000D6E31">
        <w:trPr>
          <w:trHeight w:val="56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0"/>
          <w:p w14:paraId="2D13ECE1" w14:textId="44F56503" w:rsidR="00491560" w:rsidRPr="00E21881" w:rsidRDefault="00491560" w:rsidP="000D6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218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ZAKRES</w:t>
            </w:r>
            <w:r w:rsidR="00A862A6" w:rsidRPr="00E218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E218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ŚWIADCZENIA</w:t>
            </w:r>
            <w:r w:rsidR="00A862A6" w:rsidRPr="00E218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E218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GWARANTOWANEGO</w:t>
            </w:r>
          </w:p>
        </w:tc>
      </w:tr>
      <w:tr w:rsidR="00A862A6" w:rsidRPr="00E21881" w14:paraId="15A5697E" w14:textId="77777777" w:rsidTr="004002FB">
        <w:trPr>
          <w:trHeight w:val="567"/>
        </w:trPr>
        <w:tc>
          <w:tcPr>
            <w:tcW w:w="2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9A361" w14:textId="77777777" w:rsidR="00491560" w:rsidRPr="00E21881" w:rsidRDefault="00491560" w:rsidP="000D6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2188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ŚWIADCZENIOBIORCY</w:t>
            </w: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31BEA" w14:textId="74F15F8E" w:rsidR="00491560" w:rsidRPr="00E21881" w:rsidRDefault="00491560" w:rsidP="000D6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2188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SCHEMAT</w:t>
            </w:r>
            <w:r w:rsidR="00A862A6" w:rsidRPr="00E2188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A6D83" w:rsidRPr="00E2188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DAWKOWANIA LE</w:t>
            </w:r>
            <w:r w:rsidR="004377CE" w:rsidRPr="00E2188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KÓW</w:t>
            </w:r>
            <w:r w:rsidR="000A6D83" w:rsidRPr="00E2188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03C40" w:rsidRPr="00E2188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r w:rsidR="000A6D83" w:rsidRPr="00E2188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 PROGRAMIE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2B5CD" w14:textId="0B07CF66" w:rsidR="00491560" w:rsidRPr="00E21881" w:rsidRDefault="00491560" w:rsidP="000D6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2188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BADANIA</w:t>
            </w:r>
            <w:r w:rsidR="00A862A6" w:rsidRPr="00E2188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2188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DIAGNOSTYCZNE</w:t>
            </w:r>
            <w:r w:rsidR="00A862A6" w:rsidRPr="00E2188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2188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WYKONYWANE</w:t>
            </w:r>
            <w:r w:rsidR="00A862A6" w:rsidRPr="00E2188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2188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</w:t>
            </w:r>
            <w:r w:rsidR="00A862A6" w:rsidRPr="00E2188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2188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RAMACH</w:t>
            </w:r>
            <w:r w:rsidR="00A862A6" w:rsidRPr="00E2188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2188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PROGRAMU</w:t>
            </w:r>
          </w:p>
        </w:tc>
      </w:tr>
      <w:tr w:rsidR="00A862A6" w:rsidRPr="00DE1BAD" w14:paraId="46A2534B" w14:textId="77777777" w:rsidTr="004002FB">
        <w:trPr>
          <w:trHeight w:val="20"/>
        </w:trPr>
        <w:tc>
          <w:tcPr>
            <w:tcW w:w="2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5BCF8" w14:textId="5089FF7B" w:rsidR="00B95657" w:rsidRPr="00E21881" w:rsidRDefault="00B95657" w:rsidP="00303C40">
            <w:pPr>
              <w:pStyle w:val="Tekstkomentarza"/>
              <w:spacing w:before="120" w:after="60" w:line="276" w:lineRule="auto"/>
              <w:jc w:val="both"/>
              <w:rPr>
                <w:rFonts w:ascii="Times New Roman" w:hAnsi="Times New Roman" w:cs="Times New Roman"/>
              </w:rPr>
            </w:pPr>
            <w:bookmarkStart w:id="1" w:name="_Hlk126516355"/>
            <w:r w:rsidRPr="00E21881">
              <w:rPr>
                <w:rFonts w:ascii="Times New Roman" w:hAnsi="Times New Roman" w:cs="Times New Roman"/>
              </w:rPr>
              <w:t>W programie finansuje się tylko jedną linię hormonoterapii lekiem nowej generacji</w:t>
            </w:r>
            <w:r w:rsidR="00A0274F" w:rsidRPr="00E21881">
              <w:rPr>
                <w:rFonts w:ascii="Times New Roman" w:hAnsi="Times New Roman" w:cs="Times New Roman"/>
              </w:rPr>
              <w:t xml:space="preserve"> i</w:t>
            </w:r>
            <w:r w:rsidR="00B63D2C" w:rsidRPr="00E21881">
              <w:rPr>
                <w:rFonts w:ascii="Times New Roman" w:hAnsi="Times New Roman" w:cs="Times New Roman"/>
              </w:rPr>
              <w:t xml:space="preserve"> </w:t>
            </w:r>
            <w:r w:rsidR="00227946" w:rsidRPr="00E21881">
              <w:rPr>
                <w:rFonts w:ascii="Times New Roman" w:hAnsi="Times New Roman" w:cs="Times New Roman"/>
              </w:rPr>
              <w:t>jedną linię terapii inhibitorem PARP</w:t>
            </w:r>
            <w:r w:rsidR="00BA2B13" w:rsidRPr="00E21881">
              <w:t xml:space="preserve"> </w:t>
            </w:r>
            <w:r w:rsidR="00BA2B13" w:rsidRPr="00E21881">
              <w:rPr>
                <w:rFonts w:ascii="Times New Roman" w:hAnsi="Times New Roman" w:cs="Times New Roman"/>
              </w:rPr>
              <w:t>z wykorzystaniem substancji:</w:t>
            </w:r>
            <w:r w:rsidRPr="00E21881">
              <w:rPr>
                <w:rFonts w:ascii="Times New Roman" w:hAnsi="Times New Roman" w:cs="Times New Roman"/>
              </w:rPr>
              <w:t xml:space="preserve"> </w:t>
            </w:r>
          </w:p>
          <w:bookmarkEnd w:id="1"/>
          <w:p w14:paraId="55A131A3" w14:textId="7034C539" w:rsidR="007D0522" w:rsidRPr="00D652EA" w:rsidRDefault="007D0522" w:rsidP="00D652EA">
            <w:pPr>
              <w:pStyle w:val="Akapitzlist"/>
              <w:widowControl w:val="0"/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apalutamid</w:t>
            </w:r>
            <w:proofErr w:type="spellEnd"/>
            <w:r w:rsidR="00560713"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5FF3E020" w14:textId="337F0223" w:rsidR="007D0522" w:rsidRPr="00D652EA" w:rsidRDefault="007D0522" w:rsidP="00D652EA">
            <w:pPr>
              <w:pStyle w:val="Akapitzlist"/>
              <w:widowControl w:val="0"/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darolutamid</w:t>
            </w:r>
            <w:proofErr w:type="spellEnd"/>
            <w:r w:rsidR="00560713"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37C269D1" w14:textId="14FA653E" w:rsidR="007D0522" w:rsidRPr="00D652EA" w:rsidRDefault="007D0522" w:rsidP="00D652EA">
            <w:pPr>
              <w:pStyle w:val="Akapitzlist"/>
              <w:widowControl w:val="0"/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enzalutamid</w:t>
            </w:r>
            <w:proofErr w:type="spellEnd"/>
            <w:r w:rsidR="00560713"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0FD4BFCD" w14:textId="530561AA" w:rsidR="00504BAD" w:rsidRPr="00D652EA" w:rsidRDefault="004943AE" w:rsidP="00D652EA">
            <w:pPr>
              <w:pStyle w:val="Akapitzlist"/>
              <w:widowControl w:val="0"/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olaparyb</w:t>
            </w:r>
            <w:proofErr w:type="spellEnd"/>
            <w:r w:rsidR="00504BAD"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4B4544D9" w14:textId="5CBCCBD2" w:rsidR="00D0654C" w:rsidRPr="00D652EA" w:rsidRDefault="00504BAD" w:rsidP="00D652EA">
            <w:pPr>
              <w:pStyle w:val="Akapitzlist"/>
              <w:widowControl w:val="0"/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niraparyb</w:t>
            </w:r>
            <w:proofErr w:type="spellEnd"/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+ octan </w:t>
            </w:r>
            <w:proofErr w:type="spellStart"/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abirateronu</w:t>
            </w:r>
            <w:proofErr w:type="spellEnd"/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.</w:t>
            </w:r>
          </w:p>
          <w:p w14:paraId="512A0397" w14:textId="6B0B15C6" w:rsidR="001B0E04" w:rsidRPr="00D652EA" w:rsidRDefault="001B0E04" w:rsidP="00D652EA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W leczeniu </w:t>
            </w:r>
            <w:r w:rsidR="00EF44C2" w:rsidRPr="00D652E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wrażliwego na kastrację</w:t>
            </w:r>
            <w:r w:rsidR="00EF44C2"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raka gruczołu krokowego</w:t>
            </w:r>
            <w:r w:rsidR="00B63D2C"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D652E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z przerzutami</w:t>
            </w:r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017DA7"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(</w:t>
            </w:r>
            <w:proofErr w:type="spellStart"/>
            <w:r w:rsidR="00017DA7"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mHSPC</w:t>
            </w:r>
            <w:proofErr w:type="spellEnd"/>
            <w:r w:rsidR="00017DA7"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) </w:t>
            </w:r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stosowany jest</w:t>
            </w:r>
            <w:r w:rsidRPr="00D652E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D652E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apalutamid</w:t>
            </w:r>
            <w:proofErr w:type="spellEnd"/>
            <w:r w:rsidR="000B1521" w:rsidRPr="00D652E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  <w:r w:rsidR="000B1521"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albo</w:t>
            </w:r>
            <w:r w:rsidR="000B1521" w:rsidRPr="00D652E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="000B1521" w:rsidRPr="00D652E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darolutamid</w:t>
            </w:r>
            <w:proofErr w:type="spellEnd"/>
            <w:r w:rsidR="00E85523" w:rsidRPr="00D652E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  <w:r w:rsidR="00E85523"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albo</w:t>
            </w:r>
            <w:r w:rsidR="00E85523" w:rsidRPr="00D652E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="00E85523" w:rsidRPr="00D652E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enzalutamid</w:t>
            </w:r>
            <w:proofErr w:type="spellEnd"/>
            <w:r w:rsidR="0067580D" w:rsidRPr="00D652E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.</w:t>
            </w:r>
          </w:p>
          <w:p w14:paraId="53D8A088" w14:textId="30E22A9E" w:rsidR="001B0E04" w:rsidRPr="00D652EA" w:rsidRDefault="001B0E04" w:rsidP="00D652EA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W leczeniu </w:t>
            </w:r>
            <w:r w:rsidRPr="00D652E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opornego na kastrację</w:t>
            </w:r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raka gruczołu krokowego</w:t>
            </w:r>
            <w:r w:rsidR="00B63D2C"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D652E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bez przerzutów</w:t>
            </w:r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017DA7"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(</w:t>
            </w:r>
            <w:proofErr w:type="spellStart"/>
            <w:r w:rsidR="00017DA7"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nmCRPC</w:t>
            </w:r>
            <w:proofErr w:type="spellEnd"/>
            <w:r w:rsidR="00017DA7"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) </w:t>
            </w:r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stosowany jest </w:t>
            </w:r>
            <w:proofErr w:type="spellStart"/>
            <w:r w:rsidRPr="00D652E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apalutamid</w:t>
            </w:r>
            <w:proofErr w:type="spellEnd"/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albo </w:t>
            </w:r>
            <w:proofErr w:type="spellStart"/>
            <w:r w:rsidRPr="00D652E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darolutamid</w:t>
            </w:r>
            <w:proofErr w:type="spellEnd"/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albo </w:t>
            </w:r>
            <w:proofErr w:type="spellStart"/>
            <w:r w:rsidRPr="00D652E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enzalutamid</w:t>
            </w:r>
            <w:proofErr w:type="spellEnd"/>
            <w:r w:rsidR="0067580D" w:rsidRPr="00D652E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.</w:t>
            </w:r>
          </w:p>
          <w:p w14:paraId="1DE1276A" w14:textId="51E421B0" w:rsidR="008626CB" w:rsidRPr="00D652EA" w:rsidRDefault="001B0E04" w:rsidP="00D652EA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W leczeniu </w:t>
            </w:r>
            <w:r w:rsidRPr="00D652E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opornego na kastrację </w:t>
            </w:r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raka gruczołu krokowego</w:t>
            </w:r>
            <w:r w:rsidR="00B63D2C"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D652E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z przerzutami</w:t>
            </w:r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017DA7"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(</w:t>
            </w:r>
            <w:proofErr w:type="spellStart"/>
            <w:r w:rsidR="00017DA7"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mCRPC</w:t>
            </w:r>
            <w:proofErr w:type="spellEnd"/>
            <w:r w:rsidR="00017DA7"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)</w:t>
            </w:r>
            <w:r w:rsidR="00303C40"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stosowany jest </w:t>
            </w:r>
            <w:proofErr w:type="spellStart"/>
            <w:r w:rsidRPr="00D652E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enzalutamid</w:t>
            </w:r>
            <w:proofErr w:type="spellEnd"/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E36E5E"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albo</w:t>
            </w:r>
            <w:r w:rsidR="00E36E5E" w:rsidRPr="00D652E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D652E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olaparyb</w:t>
            </w:r>
            <w:proofErr w:type="spellEnd"/>
            <w:r w:rsidR="00B56B57" w:rsidRPr="00D652E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  <w:r w:rsidR="00B56B57"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albo</w:t>
            </w:r>
            <w:r w:rsidR="00B56B57" w:rsidRPr="00D652E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="00B56B57" w:rsidRPr="00D652E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niraparyb</w:t>
            </w:r>
            <w:proofErr w:type="spellEnd"/>
            <w:r w:rsidR="00B56B57" w:rsidRPr="00D652E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+ octan </w:t>
            </w:r>
            <w:proofErr w:type="spellStart"/>
            <w:r w:rsidR="00B56B57" w:rsidRPr="00D652E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abirateronu</w:t>
            </w:r>
            <w:proofErr w:type="spellEnd"/>
            <w:r w:rsidR="00B56B57" w:rsidRPr="00D652E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.</w:t>
            </w:r>
          </w:p>
          <w:p w14:paraId="1DF917D4" w14:textId="425C3772" w:rsidR="00E27E63" w:rsidRPr="00D652EA" w:rsidRDefault="00E27E63" w:rsidP="00D652EA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14:paraId="66C7F26B" w14:textId="21F3C69F" w:rsidR="00E27E63" w:rsidRPr="00D652EA" w:rsidRDefault="00E27E63" w:rsidP="00D652EA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 programie istnieje jednorazowa możliwość leczenia niesteroidowym antyandrogen</w:t>
            </w:r>
            <w:r w:rsidR="00B23D65"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em</w:t>
            </w:r>
            <w:r w:rsidR="00A0274F"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oraz</w:t>
            </w:r>
            <w:r w:rsidR="00346AF8"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inhibitorem PARP</w:t>
            </w:r>
            <w:r w:rsidR="00A0274F"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.</w:t>
            </w:r>
          </w:p>
          <w:p w14:paraId="13642951" w14:textId="77777777" w:rsidR="001869D7" w:rsidRPr="00D652EA" w:rsidRDefault="001869D7" w:rsidP="00D652EA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14:paraId="3A242DE0" w14:textId="63C30237" w:rsidR="008D37B1" w:rsidRPr="00D652EA" w:rsidRDefault="008D37B1" w:rsidP="00D652EA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D652E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Kryteria </w:t>
            </w:r>
            <w:r w:rsidR="005A6322" w:rsidRPr="00D652E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</w:t>
            </w:r>
            <w:r w:rsidRPr="00D652E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walifikacji </w:t>
            </w:r>
          </w:p>
          <w:p w14:paraId="6E1FDEAA" w14:textId="36E4BE70" w:rsidR="00886B5E" w:rsidRPr="00D652EA" w:rsidRDefault="00032E20" w:rsidP="00D652EA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52EA">
              <w:rPr>
                <w:rFonts w:ascii="Times New Roman" w:hAnsi="Times New Roman" w:cs="Times New Roman"/>
                <w:sz w:val="20"/>
                <w:szCs w:val="20"/>
              </w:rPr>
              <w:t>Muszą zostać spełnione łącznie kryteria ogólne (1.1.) oraz kryteria szczegółowe (1.2.) dla poszczególnych substancji czynnych.</w:t>
            </w:r>
          </w:p>
          <w:p w14:paraId="3C4C5837" w14:textId="77777777" w:rsidR="00032E20" w:rsidRPr="00D652EA" w:rsidRDefault="00032E20" w:rsidP="00D652EA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047E03" w14:textId="3C251E24" w:rsidR="00886B5E" w:rsidRPr="00D652EA" w:rsidRDefault="00327C66" w:rsidP="00D652EA">
            <w:pPr>
              <w:pStyle w:val="Akapitzlist"/>
              <w:numPr>
                <w:ilvl w:val="1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52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Ogólne kryteria kwalifikacji</w:t>
            </w:r>
          </w:p>
          <w:p w14:paraId="393450CA" w14:textId="2C91A4C8" w:rsidR="00A11E82" w:rsidRPr="00D652EA" w:rsidRDefault="00476EE8" w:rsidP="00D652EA">
            <w:pPr>
              <w:pStyle w:val="Akapitzlist"/>
              <w:widowControl w:val="0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</w:pPr>
            <w:r w:rsidRPr="00D652EA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histologiczne rozpoznanie raka gruczołowego stercza</w:t>
            </w:r>
            <w:r w:rsidR="00A11E82" w:rsidRPr="00D652EA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;</w:t>
            </w:r>
          </w:p>
          <w:p w14:paraId="51B9C157" w14:textId="63889065" w:rsidR="00B6788E" w:rsidRPr="00D652EA" w:rsidRDefault="00D301C1" w:rsidP="00D652EA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</w:pPr>
            <w:r w:rsidRPr="00D652EA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ukończony 18. rok życia</w:t>
            </w:r>
            <w:r w:rsidR="00B6788E" w:rsidRPr="00D652EA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;</w:t>
            </w:r>
          </w:p>
          <w:p w14:paraId="6EEE8F5A" w14:textId="1CA65E2B" w:rsidR="00C65579" w:rsidRPr="00D652EA" w:rsidRDefault="00A11E82" w:rsidP="00D652EA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52EA">
              <w:rPr>
                <w:rFonts w:ascii="Times New Roman" w:hAnsi="Times New Roman" w:cs="Times New Roman"/>
                <w:sz w:val="20"/>
                <w:szCs w:val="20"/>
              </w:rPr>
              <w:t>stan sprawności</w:t>
            </w:r>
            <w:r w:rsidR="002F04FC" w:rsidRPr="00D652E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C2B82F7" w14:textId="3B4749C3" w:rsidR="00911820" w:rsidRPr="00D652EA" w:rsidRDefault="00911820" w:rsidP="00D652EA">
            <w:pPr>
              <w:pStyle w:val="Akapitzlist"/>
              <w:numPr>
                <w:ilvl w:val="4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52EA">
              <w:rPr>
                <w:rFonts w:ascii="Times New Roman" w:hAnsi="Times New Roman" w:cs="Times New Roman"/>
                <w:sz w:val="20"/>
                <w:szCs w:val="20"/>
              </w:rPr>
              <w:t>0-1</w:t>
            </w:r>
            <w:r w:rsidRPr="00D652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26843"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według ECOG w przypadku leczenia </w:t>
            </w:r>
            <w:proofErr w:type="spellStart"/>
            <w:r w:rsidR="00194617" w:rsidRPr="00D652EA">
              <w:rPr>
                <w:rFonts w:ascii="Times New Roman" w:hAnsi="Times New Roman" w:cs="Times New Roman"/>
                <w:sz w:val="20"/>
                <w:szCs w:val="20"/>
              </w:rPr>
              <w:t>apalutamidem</w:t>
            </w:r>
            <w:proofErr w:type="spellEnd"/>
            <w:r w:rsidR="00731544"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731544" w:rsidRPr="00D652EA">
              <w:rPr>
                <w:rFonts w:ascii="Times New Roman" w:hAnsi="Times New Roman" w:cs="Times New Roman"/>
                <w:sz w:val="20"/>
                <w:szCs w:val="20"/>
              </w:rPr>
              <w:t>darolutamidem</w:t>
            </w:r>
            <w:proofErr w:type="spellEnd"/>
            <w:r w:rsidR="00194617"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C2140" w:rsidRPr="00D652E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194617" w:rsidRPr="00D652EA">
              <w:rPr>
                <w:rFonts w:ascii="Times New Roman" w:hAnsi="Times New Roman" w:cs="Times New Roman"/>
                <w:sz w:val="20"/>
                <w:szCs w:val="20"/>
              </w:rPr>
              <w:t>nmCRPC</w:t>
            </w:r>
            <w:proofErr w:type="spellEnd"/>
            <w:r w:rsidR="00194617"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), </w:t>
            </w:r>
            <w:proofErr w:type="spellStart"/>
            <w:r w:rsidR="00194617" w:rsidRPr="00D652EA">
              <w:rPr>
                <w:rFonts w:ascii="Times New Roman" w:hAnsi="Times New Roman" w:cs="Times New Roman"/>
                <w:sz w:val="20"/>
                <w:szCs w:val="20"/>
              </w:rPr>
              <w:t>enzalutamidem</w:t>
            </w:r>
            <w:proofErr w:type="spellEnd"/>
            <w:r w:rsidR="00194617"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194617" w:rsidRPr="00D652EA">
              <w:rPr>
                <w:rFonts w:ascii="Times New Roman" w:hAnsi="Times New Roman" w:cs="Times New Roman"/>
                <w:sz w:val="20"/>
                <w:szCs w:val="20"/>
              </w:rPr>
              <w:t>nmCRPC</w:t>
            </w:r>
            <w:proofErr w:type="spellEnd"/>
            <w:r w:rsidR="00194617"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 albo </w:t>
            </w:r>
            <w:proofErr w:type="spellStart"/>
            <w:r w:rsidR="00194617" w:rsidRPr="00D652EA">
              <w:rPr>
                <w:rFonts w:ascii="Times New Roman" w:hAnsi="Times New Roman" w:cs="Times New Roman"/>
                <w:sz w:val="20"/>
                <w:szCs w:val="20"/>
              </w:rPr>
              <w:t>mCRPC</w:t>
            </w:r>
            <w:proofErr w:type="spellEnd"/>
            <w:r w:rsidR="00B23D65"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88E"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przed podaniem </w:t>
            </w:r>
            <w:proofErr w:type="spellStart"/>
            <w:r w:rsidR="00B6788E" w:rsidRPr="00D652EA">
              <w:rPr>
                <w:rFonts w:ascii="Times New Roman" w:hAnsi="Times New Roman" w:cs="Times New Roman"/>
                <w:sz w:val="20"/>
                <w:szCs w:val="20"/>
              </w:rPr>
              <w:t>docetakselu</w:t>
            </w:r>
            <w:proofErr w:type="spellEnd"/>
            <w:r w:rsidR="00B6788E" w:rsidRPr="00D652EA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2E31FA33" w14:textId="77777777" w:rsidR="00911820" w:rsidRPr="00D652EA" w:rsidRDefault="00726843" w:rsidP="00D652EA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albo </w:t>
            </w:r>
          </w:p>
          <w:p w14:paraId="7D85A6A2" w14:textId="43E47E30" w:rsidR="00194617" w:rsidRPr="00D652EA" w:rsidRDefault="00726843" w:rsidP="00D652EA">
            <w:pPr>
              <w:pStyle w:val="Akapitzlist"/>
              <w:widowControl w:val="0"/>
              <w:numPr>
                <w:ilvl w:val="4"/>
                <w:numId w:val="2"/>
              </w:numPr>
              <w:tabs>
                <w:tab w:val="left" w:pos="761"/>
              </w:tabs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52EA">
              <w:rPr>
                <w:rFonts w:ascii="Times New Roman" w:hAnsi="Times New Roman" w:cs="Times New Roman"/>
                <w:sz w:val="20"/>
                <w:szCs w:val="20"/>
              </w:rPr>
              <w:t>0-2</w:t>
            </w:r>
            <w:r w:rsidRPr="00D652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11820"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według ECOG </w:t>
            </w:r>
            <w:r w:rsidRPr="00D652EA">
              <w:rPr>
                <w:rFonts w:ascii="Times New Roman" w:hAnsi="Times New Roman" w:cs="Times New Roman"/>
                <w:sz w:val="20"/>
                <w:szCs w:val="20"/>
              </w:rPr>
              <w:t>w przypadku leczenia</w:t>
            </w:r>
            <w:r w:rsidR="00FC2140"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C2140" w:rsidRPr="00D652EA">
              <w:rPr>
                <w:rFonts w:ascii="Times New Roman" w:hAnsi="Times New Roman" w:cs="Times New Roman"/>
                <w:sz w:val="20"/>
                <w:szCs w:val="20"/>
              </w:rPr>
              <w:t>apalutamidem</w:t>
            </w:r>
            <w:proofErr w:type="spellEnd"/>
            <w:r w:rsidR="00FC2140"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FC2140" w:rsidRPr="00D652EA">
              <w:rPr>
                <w:rFonts w:ascii="Times New Roman" w:hAnsi="Times New Roman" w:cs="Times New Roman"/>
                <w:sz w:val="20"/>
                <w:szCs w:val="20"/>
              </w:rPr>
              <w:t>mHSPC</w:t>
            </w:r>
            <w:proofErr w:type="spellEnd"/>
            <w:r w:rsidR="00FC2140"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), </w:t>
            </w:r>
            <w:r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B1521" w:rsidRPr="00D652EA">
              <w:rPr>
                <w:rFonts w:ascii="Times New Roman" w:hAnsi="Times New Roman" w:cs="Times New Roman"/>
                <w:sz w:val="20"/>
                <w:szCs w:val="20"/>
              </w:rPr>
              <w:t>darolutamidem</w:t>
            </w:r>
            <w:proofErr w:type="spellEnd"/>
            <w:r w:rsidR="000B1521"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0B1521" w:rsidRPr="00D652EA">
              <w:rPr>
                <w:rFonts w:ascii="Times New Roman" w:hAnsi="Times New Roman" w:cs="Times New Roman"/>
                <w:sz w:val="20"/>
                <w:szCs w:val="20"/>
              </w:rPr>
              <w:t>mHSPC</w:t>
            </w:r>
            <w:proofErr w:type="spellEnd"/>
            <w:r w:rsidR="000B1521" w:rsidRPr="00D652E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F405E5" w:rsidRPr="00D652E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B1521"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94617" w:rsidRPr="00D652EA">
              <w:rPr>
                <w:rFonts w:ascii="Times New Roman" w:hAnsi="Times New Roman" w:cs="Times New Roman"/>
                <w:sz w:val="20"/>
                <w:szCs w:val="20"/>
              </w:rPr>
              <w:t>enzalutamidem</w:t>
            </w:r>
            <w:proofErr w:type="spellEnd"/>
            <w:r w:rsidR="00194617"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0B1521" w:rsidRPr="00D652EA">
              <w:rPr>
                <w:rFonts w:ascii="Times New Roman" w:hAnsi="Times New Roman" w:cs="Times New Roman"/>
                <w:sz w:val="20"/>
                <w:szCs w:val="20"/>
              </w:rPr>
              <w:t>mHSPC</w:t>
            </w:r>
            <w:proofErr w:type="spellEnd"/>
            <w:r w:rsidR="000B1521"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194617" w:rsidRPr="00D652EA">
              <w:rPr>
                <w:rFonts w:ascii="Times New Roman" w:hAnsi="Times New Roman" w:cs="Times New Roman"/>
                <w:sz w:val="20"/>
                <w:szCs w:val="20"/>
              </w:rPr>
              <w:t>mCRPC</w:t>
            </w:r>
            <w:proofErr w:type="spellEnd"/>
            <w:r w:rsidR="00194617"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 po </w:t>
            </w:r>
            <w:r w:rsidR="00B6788E" w:rsidRPr="00D652EA">
              <w:rPr>
                <w:rFonts w:ascii="Times New Roman" w:hAnsi="Times New Roman" w:cs="Times New Roman"/>
                <w:sz w:val="20"/>
                <w:szCs w:val="20"/>
              </w:rPr>
              <w:t>wcześniejszym leczeniu</w:t>
            </w:r>
            <w:r w:rsidR="00194617"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94617" w:rsidRPr="00D652EA">
              <w:rPr>
                <w:rFonts w:ascii="Times New Roman" w:hAnsi="Times New Roman" w:cs="Times New Roman"/>
                <w:sz w:val="20"/>
                <w:szCs w:val="20"/>
              </w:rPr>
              <w:t>docetaksel</w:t>
            </w:r>
            <w:r w:rsidR="00B6788E" w:rsidRPr="00D652EA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proofErr w:type="spellEnd"/>
            <w:r w:rsidR="00194617" w:rsidRPr="00D652E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0828AF" w:rsidRPr="00D652E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94617"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94617" w:rsidRPr="00D652EA">
              <w:rPr>
                <w:rFonts w:ascii="Times New Roman" w:hAnsi="Times New Roman" w:cs="Times New Roman"/>
                <w:sz w:val="20"/>
                <w:szCs w:val="20"/>
              </w:rPr>
              <w:t>olaparybem</w:t>
            </w:r>
            <w:proofErr w:type="spellEnd"/>
            <w:r w:rsidR="005A6602"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 albo </w:t>
            </w:r>
            <w:proofErr w:type="spellStart"/>
            <w:r w:rsidR="005A6602" w:rsidRPr="00D652EA">
              <w:rPr>
                <w:rFonts w:ascii="Times New Roman" w:hAnsi="Times New Roman" w:cs="Times New Roman"/>
                <w:sz w:val="20"/>
                <w:szCs w:val="20"/>
              </w:rPr>
              <w:t>niraparybem</w:t>
            </w:r>
            <w:proofErr w:type="spellEnd"/>
            <w:r w:rsidR="005A6602"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 + octanem </w:t>
            </w:r>
            <w:proofErr w:type="spellStart"/>
            <w:r w:rsidR="005A6602" w:rsidRPr="00D652EA">
              <w:rPr>
                <w:rFonts w:ascii="Times New Roman" w:hAnsi="Times New Roman" w:cs="Times New Roman"/>
                <w:sz w:val="20"/>
                <w:szCs w:val="20"/>
              </w:rPr>
              <w:t>abirateronu</w:t>
            </w:r>
            <w:proofErr w:type="spellEnd"/>
            <w:r w:rsidR="00A0274F" w:rsidRPr="00D652E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717C391" w14:textId="582AD04B" w:rsidR="00A11E82" w:rsidRPr="00D652EA" w:rsidRDefault="00A11E82" w:rsidP="00D652EA">
            <w:pPr>
              <w:pStyle w:val="Akapitzlist"/>
              <w:widowControl w:val="0"/>
              <w:numPr>
                <w:ilvl w:val="3"/>
                <w:numId w:val="2"/>
              </w:numPr>
              <w:tabs>
                <w:tab w:val="left" w:pos="761"/>
              </w:tabs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52E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adekwatna wydolność narządowa określona na podstawie wyników badań laboratoryjnych krwi zgodnie z zapisami </w:t>
            </w:r>
            <w:r w:rsidR="00177493" w:rsidRPr="00D652E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aktualnej </w:t>
            </w:r>
            <w:r w:rsidRPr="00D652EA">
              <w:rPr>
                <w:rFonts w:ascii="Times New Roman" w:eastAsia="Calibri" w:hAnsi="Times New Roman" w:cs="Times New Roman"/>
                <w:sz w:val="20"/>
                <w:szCs w:val="20"/>
              </w:rPr>
              <w:t>Charakterystyki Produktu Leczniczego (</w:t>
            </w:r>
            <w:proofErr w:type="spellStart"/>
            <w:r w:rsidRPr="00D652EA">
              <w:rPr>
                <w:rFonts w:ascii="Times New Roman" w:eastAsia="Calibri" w:hAnsi="Times New Roman" w:cs="Times New Roman"/>
                <w:sz w:val="20"/>
                <w:szCs w:val="20"/>
              </w:rPr>
              <w:t>ChPL</w:t>
            </w:r>
            <w:proofErr w:type="spellEnd"/>
            <w:r w:rsidRPr="00D652EA">
              <w:rPr>
                <w:rFonts w:ascii="Times New Roman" w:eastAsia="Calibri" w:hAnsi="Times New Roman" w:cs="Times New Roman"/>
                <w:sz w:val="20"/>
                <w:szCs w:val="20"/>
              </w:rPr>
              <w:t>);</w:t>
            </w:r>
          </w:p>
          <w:p w14:paraId="65B6825E" w14:textId="118DA6E8" w:rsidR="00A11E82" w:rsidRPr="00D652EA" w:rsidRDefault="00A11E82" w:rsidP="00D652EA">
            <w:pPr>
              <w:pStyle w:val="Akapitzlist"/>
              <w:widowControl w:val="0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</w:pPr>
            <w:r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brak przeciwwskazań do stosowania </w:t>
            </w:r>
            <w:r w:rsidR="00A6366E" w:rsidRPr="00D652EA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 zgodnie z</w:t>
            </w:r>
            <w:r w:rsidR="00A6366E"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 zapisami</w:t>
            </w:r>
            <w:r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7493"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aktualnej </w:t>
            </w:r>
            <w:proofErr w:type="spellStart"/>
            <w:r w:rsidRPr="00D652EA">
              <w:rPr>
                <w:rFonts w:ascii="Times New Roman" w:hAnsi="Times New Roman" w:cs="Times New Roman"/>
                <w:sz w:val="20"/>
                <w:szCs w:val="20"/>
              </w:rPr>
              <w:t>ChPL</w:t>
            </w:r>
            <w:proofErr w:type="spellEnd"/>
            <w:r w:rsidRPr="00D652E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55E8853" w14:textId="77777777" w:rsidR="00177493" w:rsidRPr="00D652EA" w:rsidRDefault="000A507C" w:rsidP="00D652EA">
            <w:pPr>
              <w:pStyle w:val="Akapitzlist"/>
              <w:widowControl w:val="0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</w:pPr>
            <w:r w:rsidRPr="00D652EA">
              <w:rPr>
                <w:rFonts w:ascii="Times New Roman" w:hAnsi="Times New Roman" w:cs="Times New Roman"/>
                <w:sz w:val="20"/>
                <w:szCs w:val="20"/>
              </w:rPr>
              <w:t>nieobecność schorzeń lub stanów stanowiących przeciwskazanie do zastosowania terapii</w:t>
            </w:r>
            <w:r w:rsidR="00FE49B5" w:rsidRPr="00D652E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7BB3654" w14:textId="5A1C2905" w:rsidR="00DB4537" w:rsidRPr="00D652EA" w:rsidRDefault="00FE49B5" w:rsidP="00D652EA">
            <w:pPr>
              <w:pStyle w:val="Akapitzlist"/>
              <w:widowControl w:val="0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</w:pPr>
            <w:r w:rsidRPr="00D652EA">
              <w:rPr>
                <w:rFonts w:ascii="Times New Roman" w:hAnsi="Times New Roman" w:cs="Times New Roman"/>
                <w:sz w:val="20"/>
                <w:szCs w:val="20"/>
              </w:rPr>
              <w:t>nieobecność innych nowotworów niekontrolowanych leczeniem;</w:t>
            </w:r>
          </w:p>
          <w:p w14:paraId="21301411" w14:textId="2B92288E" w:rsidR="000B4003" w:rsidRPr="00D652EA" w:rsidRDefault="00FE49B5" w:rsidP="00D652EA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</w:pPr>
            <w:r w:rsidRPr="00D652EA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brak </w:t>
            </w:r>
            <w:r w:rsidR="00C6578F" w:rsidRPr="00D652EA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rozpoznani</w:t>
            </w:r>
            <w:r w:rsidR="00177493" w:rsidRPr="00D652EA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a</w:t>
            </w:r>
            <w:r w:rsidR="00C6578F" w:rsidRPr="00D652EA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raka stercza z różnicowaniem neuroendokrynnym lub raka</w:t>
            </w:r>
            <w:r w:rsidR="000B4003" w:rsidRPr="00D652EA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="00C6578F" w:rsidRPr="00D652EA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drobnokomórkowego lub raka przewodowego</w:t>
            </w:r>
            <w:r w:rsidR="00E46071" w:rsidRPr="00D652EA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.</w:t>
            </w:r>
          </w:p>
          <w:p w14:paraId="44A960A2" w14:textId="77777777" w:rsidR="008626CB" w:rsidRPr="00D652EA" w:rsidRDefault="008626CB" w:rsidP="00D652EA">
            <w:pPr>
              <w:widowControl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</w:pPr>
          </w:p>
          <w:p w14:paraId="1B9511E1" w14:textId="1B35B735" w:rsidR="00E46071" w:rsidRPr="00D652EA" w:rsidRDefault="004D441C" w:rsidP="00D652EA">
            <w:pPr>
              <w:pStyle w:val="Akapitzlist"/>
              <w:numPr>
                <w:ilvl w:val="1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652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</w:t>
            </w:r>
            <w:r w:rsidR="00DB4537" w:rsidRPr="00D652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zczegółowe kryteria kwalifikacji</w:t>
            </w:r>
          </w:p>
          <w:p w14:paraId="61BB2F58" w14:textId="31528D31" w:rsidR="002D241D" w:rsidRPr="00D652EA" w:rsidRDefault="002D241D" w:rsidP="00D652EA">
            <w:pPr>
              <w:pStyle w:val="Akapitzlist"/>
              <w:widowControl w:val="0"/>
              <w:numPr>
                <w:ilvl w:val="2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bidi="pl-PL"/>
              </w:rPr>
            </w:pPr>
            <w:r w:rsidRPr="00D652EA">
              <w:rPr>
                <w:rFonts w:ascii="Times New Roman" w:hAnsi="Times New Roman" w:cs="Times New Roman"/>
                <w:b/>
                <w:bCs/>
                <w:sz w:val="20"/>
                <w:szCs w:val="20"/>
                <w:lang w:bidi="pl-PL"/>
              </w:rPr>
              <w:t>Chorych na wrażliwego na kastrację raka gruczołu krokowego z przerzutami</w:t>
            </w:r>
            <w:r w:rsidR="001C45DB" w:rsidRPr="00D652EA">
              <w:rPr>
                <w:rFonts w:ascii="Times New Roman" w:hAnsi="Times New Roman" w:cs="Times New Roman"/>
                <w:b/>
                <w:bCs/>
                <w:sz w:val="20"/>
                <w:szCs w:val="20"/>
                <w:lang w:bidi="pl-PL"/>
              </w:rPr>
              <w:t xml:space="preserve"> </w:t>
            </w:r>
            <w:proofErr w:type="spellStart"/>
            <w:r w:rsidR="001C45DB" w:rsidRPr="00D652EA">
              <w:rPr>
                <w:rFonts w:ascii="Times New Roman" w:hAnsi="Times New Roman" w:cs="Times New Roman"/>
                <w:b/>
                <w:bCs/>
                <w:sz w:val="20"/>
                <w:szCs w:val="20"/>
                <w:lang w:bidi="pl-PL"/>
              </w:rPr>
              <w:t>apalutamidem</w:t>
            </w:r>
            <w:proofErr w:type="spellEnd"/>
            <w:r w:rsidR="001C45DB" w:rsidRPr="00D652EA">
              <w:rPr>
                <w:rFonts w:ascii="Times New Roman" w:hAnsi="Times New Roman" w:cs="Times New Roman"/>
                <w:b/>
                <w:bCs/>
                <w:sz w:val="20"/>
                <w:szCs w:val="20"/>
                <w:lang w:bidi="pl-PL"/>
              </w:rPr>
              <w:t xml:space="preserve"> albo </w:t>
            </w:r>
            <w:proofErr w:type="spellStart"/>
            <w:r w:rsidR="001C45DB" w:rsidRPr="00D652EA">
              <w:rPr>
                <w:rFonts w:ascii="Times New Roman" w:hAnsi="Times New Roman" w:cs="Times New Roman"/>
                <w:b/>
                <w:bCs/>
                <w:sz w:val="20"/>
                <w:szCs w:val="20"/>
                <w:lang w:bidi="pl-PL"/>
              </w:rPr>
              <w:t>enzalutamidem</w:t>
            </w:r>
            <w:proofErr w:type="spellEnd"/>
            <w:r w:rsidR="001C45DB" w:rsidRPr="00D652EA">
              <w:rPr>
                <w:rFonts w:ascii="Times New Roman" w:hAnsi="Times New Roman" w:cs="Times New Roman"/>
                <w:b/>
                <w:bCs/>
                <w:sz w:val="20"/>
                <w:szCs w:val="20"/>
                <w:lang w:bidi="pl-PL"/>
              </w:rPr>
              <w:t xml:space="preserve"> albo</w:t>
            </w:r>
            <w:r w:rsidRPr="00D652EA">
              <w:rPr>
                <w:rFonts w:ascii="Times New Roman" w:hAnsi="Times New Roman" w:cs="Times New Roman"/>
                <w:b/>
                <w:bCs/>
                <w:sz w:val="20"/>
                <w:szCs w:val="20"/>
                <w:lang w:bidi="pl-PL"/>
              </w:rPr>
              <w:t xml:space="preserve"> </w:t>
            </w:r>
            <w:proofErr w:type="spellStart"/>
            <w:r w:rsidRPr="00D652EA">
              <w:rPr>
                <w:rFonts w:ascii="Times New Roman" w:hAnsi="Times New Roman" w:cs="Times New Roman"/>
                <w:b/>
                <w:bCs/>
                <w:sz w:val="20"/>
                <w:szCs w:val="20"/>
                <w:lang w:bidi="pl-PL"/>
              </w:rPr>
              <w:t>darolutamidem</w:t>
            </w:r>
            <w:proofErr w:type="spellEnd"/>
            <w:r w:rsidR="001C45DB" w:rsidRPr="00D652EA">
              <w:rPr>
                <w:rFonts w:ascii="Times New Roman" w:hAnsi="Times New Roman" w:cs="Times New Roman"/>
                <w:b/>
                <w:bCs/>
                <w:sz w:val="20"/>
                <w:szCs w:val="20"/>
                <w:lang w:bidi="pl-PL"/>
              </w:rPr>
              <w:t xml:space="preserve"> w skojarzeniu z </w:t>
            </w:r>
            <w:proofErr w:type="spellStart"/>
            <w:r w:rsidR="001C45DB" w:rsidRPr="00D652EA">
              <w:rPr>
                <w:rFonts w:ascii="Times New Roman" w:hAnsi="Times New Roman" w:cs="Times New Roman"/>
                <w:b/>
                <w:bCs/>
                <w:sz w:val="20"/>
                <w:szCs w:val="20"/>
                <w:lang w:bidi="pl-PL"/>
              </w:rPr>
              <w:t>docetakselem</w:t>
            </w:r>
            <w:proofErr w:type="spellEnd"/>
          </w:p>
          <w:p w14:paraId="65142D71" w14:textId="77777777" w:rsidR="002D241D" w:rsidRPr="00D652EA" w:rsidRDefault="002D241D" w:rsidP="00D652EA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D652EA">
              <w:rPr>
                <w:rFonts w:ascii="Times New Roman" w:hAnsi="Times New Roman" w:cs="Times New Roman"/>
                <w:color w:val="000000"/>
                <w:sz w:val="20"/>
                <w:szCs w:val="20"/>
                <w:lang w:bidi="pl-PL"/>
              </w:rPr>
              <w:t>stadium wrażliwości na kastrację;</w:t>
            </w:r>
          </w:p>
          <w:p w14:paraId="52202629" w14:textId="4D0DA4FB" w:rsidR="002D241D" w:rsidRPr="00D652EA" w:rsidRDefault="002D241D" w:rsidP="00D652EA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lastRenderedPageBreak/>
              <w:t xml:space="preserve">udokumentowana możliwość rozpoczęcia leczenia </w:t>
            </w:r>
            <w:proofErr w:type="spellStart"/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docetakselem</w:t>
            </w:r>
            <w:proofErr w:type="spellEnd"/>
            <w:r w:rsidR="001C45DB"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(w przypadku leczenia </w:t>
            </w:r>
            <w:proofErr w:type="spellStart"/>
            <w:r w:rsidR="001C45DB"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darolutamidem</w:t>
            </w:r>
            <w:proofErr w:type="spellEnd"/>
            <w:r w:rsidR="001C45DB"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)</w:t>
            </w:r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266130F1" w14:textId="3B85C974" w:rsidR="00B45B42" w:rsidRPr="00D652EA" w:rsidRDefault="00B23D65" w:rsidP="00D652EA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zakończone leczenie </w:t>
            </w:r>
            <w:proofErr w:type="spellStart"/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docetakselem</w:t>
            </w:r>
            <w:proofErr w:type="spellEnd"/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albo </w:t>
            </w:r>
            <w:r w:rsidR="00B45B42"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decyzja lekarza o </w:t>
            </w:r>
            <w:r w:rsidR="00074CFC"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odstąpieniu od stosowania </w:t>
            </w:r>
            <w:proofErr w:type="spellStart"/>
            <w:r w:rsidR="00074CFC"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docetakselu</w:t>
            </w:r>
            <w:proofErr w:type="spellEnd"/>
            <w:r w:rsidR="007E3BD7"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wraz z jej uzasadnieniem </w:t>
            </w:r>
            <w:r w:rsidR="007E3BD7"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(w przypadku leczenia </w:t>
            </w:r>
            <w:proofErr w:type="spellStart"/>
            <w:r w:rsidR="007E3BD7"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apalutamidem</w:t>
            </w:r>
            <w:proofErr w:type="spellEnd"/>
            <w:r w:rsidR="007E3BD7"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albo </w:t>
            </w:r>
            <w:proofErr w:type="spellStart"/>
            <w:r w:rsidR="007E3BD7"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enzalutamidem</w:t>
            </w:r>
            <w:proofErr w:type="spellEnd"/>
            <w:r w:rsidR="007E3BD7"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);</w:t>
            </w:r>
          </w:p>
          <w:p w14:paraId="3664D221" w14:textId="77777777" w:rsidR="002D241D" w:rsidRPr="00D652EA" w:rsidRDefault="002D241D" w:rsidP="00D652EA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D652EA">
              <w:rPr>
                <w:rFonts w:ascii="Times New Roman" w:hAnsi="Times New Roman" w:cs="Times New Roman"/>
                <w:sz w:val="20"/>
                <w:szCs w:val="20"/>
              </w:rPr>
              <w:t>brak cech radiologicznej lub biochemicznej progresji u chorych leczonych deprywacją androgenów przed włączeniem do programu;</w:t>
            </w:r>
          </w:p>
          <w:p w14:paraId="54DE10A8" w14:textId="18CC4D78" w:rsidR="002D241D" w:rsidRPr="00D652EA" w:rsidRDefault="002D241D" w:rsidP="00D652EA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obecność przerzutów potwierdzona w badaniu scyntygrafii kości lub przerzutów do tkanek miękkich lub przerzutów trzewnych w badaniach obrazowych (TK/MR)</w:t>
            </w:r>
            <w:r w:rsidR="00D20620"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</w:t>
            </w:r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w przypadku występowania wyłącznie przerzutów do węzłów chłonnych do programu mogą zakwalifikować się jedynie pacjenci z przerzutami nieregionalnymi (tj. występującymi powyżej rozwidlenia aorty);</w:t>
            </w:r>
          </w:p>
          <w:p w14:paraId="6631E09C" w14:textId="77777777" w:rsidR="002D241D" w:rsidRPr="00D652EA" w:rsidRDefault="002D241D" w:rsidP="00D652EA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dopuszczalne jest wcześniejsze leczenie o założeniu radykalnym, w tym stosowanie hormonoterapii uzupełniającej przez maksymalnie 3 lata, o ile została zakończona co najmniej rok wcześniej;</w:t>
            </w:r>
          </w:p>
          <w:p w14:paraId="2282A9E0" w14:textId="77777777" w:rsidR="002D241D" w:rsidRPr="00D652EA" w:rsidRDefault="002D241D" w:rsidP="00D652EA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dopuszczalne jest wcześniejsze leczenie deprywacją androgenów (kastracja farmakologiczna lub chirurgiczna), ale nie dłużej niż 6 miesięcy na etapie choroby przerzutowej;</w:t>
            </w:r>
          </w:p>
          <w:p w14:paraId="09BBAAC1" w14:textId="77777777" w:rsidR="002D241D" w:rsidRPr="00D652EA" w:rsidRDefault="002D241D" w:rsidP="00D652EA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niestosowanie wcześniejszego leczenia octanem </w:t>
            </w:r>
            <w:proofErr w:type="spellStart"/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abirateronu</w:t>
            </w:r>
            <w:proofErr w:type="spellEnd"/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7F926050" w14:textId="43A5F085" w:rsidR="002D241D" w:rsidRPr="00D652EA" w:rsidRDefault="002D241D" w:rsidP="00D652EA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niestosowanie leków </w:t>
            </w:r>
            <w:proofErr w:type="spellStart"/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antyresorpcyjnych</w:t>
            </w:r>
            <w:proofErr w:type="spellEnd"/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wpływających na metabolizm kostny (nie dotyczy leków stosowanych w leczeniu </w:t>
            </w:r>
            <w:r w:rsidR="00B23D65"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lub profilaktyce </w:t>
            </w:r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osteoporozy);</w:t>
            </w:r>
            <w:r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219C583" w14:textId="77777777" w:rsidR="002D241D" w:rsidRPr="00D652EA" w:rsidRDefault="002D241D" w:rsidP="00D652EA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14:paraId="3EF46B17" w14:textId="28F28C68" w:rsidR="007A055A" w:rsidRPr="00D652EA" w:rsidRDefault="00BE3676" w:rsidP="00D652EA">
            <w:pPr>
              <w:pStyle w:val="Akapitzlist"/>
              <w:numPr>
                <w:ilvl w:val="2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</w:pPr>
            <w:r w:rsidRPr="00D652E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>Chorych</w:t>
            </w:r>
            <w:r w:rsidR="00F149E9" w:rsidRPr="00D652E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 xml:space="preserve"> na </w:t>
            </w:r>
            <w:r w:rsidR="00D761A4" w:rsidRPr="00D652E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>opornego na kastrację raka gruczołu krokowego bez przerzutów</w:t>
            </w:r>
            <w:r w:rsidR="007A055A" w:rsidRPr="00D652E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 xml:space="preserve"> </w:t>
            </w:r>
            <w:proofErr w:type="spellStart"/>
            <w:r w:rsidR="007A055A" w:rsidRPr="00D652E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>apalutamidem</w:t>
            </w:r>
            <w:proofErr w:type="spellEnd"/>
            <w:r w:rsidR="007A055A" w:rsidRPr="00D652E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 xml:space="preserve"> albo </w:t>
            </w:r>
            <w:proofErr w:type="spellStart"/>
            <w:r w:rsidR="007A055A" w:rsidRPr="00D652E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>darolutamidem</w:t>
            </w:r>
            <w:proofErr w:type="spellEnd"/>
            <w:r w:rsidR="007A055A" w:rsidRPr="00D652E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 xml:space="preserve"> albo </w:t>
            </w:r>
            <w:proofErr w:type="spellStart"/>
            <w:r w:rsidR="007A055A" w:rsidRPr="00D652E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>enzalutamidem</w:t>
            </w:r>
            <w:proofErr w:type="spellEnd"/>
          </w:p>
          <w:p w14:paraId="04DDD440" w14:textId="77777777" w:rsidR="007F36A1" w:rsidRPr="00D652EA" w:rsidRDefault="007A055A" w:rsidP="00D652EA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D652E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stadium oporności na kastrację, określone na podstawie oznaczenia stężenia testosteronu w surowicy wynoszącego </w:t>
            </w:r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50 </w:t>
            </w:r>
            <w:proofErr w:type="spellStart"/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ng</w:t>
            </w:r>
            <w:proofErr w:type="spellEnd"/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/dl lub mniej (tj. wynoszącego 1,7 </w:t>
            </w:r>
            <w:proofErr w:type="spellStart"/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nmol</w:t>
            </w:r>
            <w:proofErr w:type="spellEnd"/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/l lub mniej), u chorych z progresją choroby ocenioną wg kryterium w pkt </w:t>
            </w:r>
            <w:r w:rsidR="002626B6"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2</w:t>
            </w:r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43D3756F" w14:textId="5D9B2BAB" w:rsidR="007F36A1" w:rsidRPr="00D652EA" w:rsidRDefault="007F36A1" w:rsidP="00D652EA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progresja choroby określona na podstawie trzech kolejnych wzrostów stężenia PSA, oznaczonego w co najmniej tygodniowych odstępach, z dwoma wzrostami o co najmniej 50% wobec wartości wyjściowej (nadir) i stężenie </w:t>
            </w:r>
            <w:r w:rsidRPr="00D652E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PSA &gt;2 </w:t>
            </w:r>
            <w:proofErr w:type="spellStart"/>
            <w:r w:rsidRPr="00D652EA">
              <w:rPr>
                <w:rFonts w:ascii="Times New Roman" w:hAnsi="Times New Roman" w:cs="Times New Roman"/>
                <w:sz w:val="20"/>
                <w:szCs w:val="20"/>
              </w:rPr>
              <w:t>ng</w:t>
            </w:r>
            <w:proofErr w:type="spellEnd"/>
            <w:r w:rsidRPr="00D652EA">
              <w:rPr>
                <w:rFonts w:ascii="Times New Roman" w:hAnsi="Times New Roman" w:cs="Times New Roman"/>
                <w:sz w:val="20"/>
                <w:szCs w:val="20"/>
              </w:rPr>
              <w:t>/ml;</w:t>
            </w:r>
          </w:p>
          <w:p w14:paraId="0ACEFDC2" w14:textId="3CDE4859" w:rsidR="002626B6" w:rsidRPr="00D652EA" w:rsidRDefault="007A055A" w:rsidP="00D652EA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D652EA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brak przerzutów odległych (cecha M0, dopuszczalne są jedynie przerzuty w węzłach chłonnych poniżej rozwidlenia aorty</w:t>
            </w:r>
            <w:r w:rsidR="009930A1" w:rsidRPr="00D652EA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,</w:t>
            </w:r>
            <w:r w:rsidRPr="00D652EA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o ile w krótkim wymiarze mają mniej niż 2 cm – cecha N1)</w:t>
            </w:r>
            <w:r w:rsidR="00C831A3" w:rsidRPr="00D652EA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na podstawie scyntygrafii kości</w:t>
            </w:r>
            <w:r w:rsidR="00AF079D" w:rsidRPr="00D652EA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oraz</w:t>
            </w:r>
            <w:r w:rsidR="00C831A3" w:rsidRPr="00D652EA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tomografii komputerowej lub rezonansu magnetycznego</w:t>
            </w:r>
            <w:r w:rsidR="004A1B03" w:rsidRPr="00D652EA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lub</w:t>
            </w:r>
            <w:r w:rsidR="00AF079D" w:rsidRPr="00D652EA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="00C90AA6" w:rsidRPr="00D652EA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rentgenografii</w:t>
            </w:r>
            <w:r w:rsidR="00AF079D" w:rsidRPr="00D652EA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klatki piersiowej</w:t>
            </w:r>
            <w:r w:rsidR="004178CD" w:rsidRPr="00D652EA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;</w:t>
            </w:r>
          </w:p>
          <w:p w14:paraId="390DD727" w14:textId="43139324" w:rsidR="007A055A" w:rsidRPr="00D652EA" w:rsidRDefault="007A055A" w:rsidP="00D652EA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D652EA">
              <w:rPr>
                <w:rFonts w:ascii="Times New Roman" w:eastAsia="Calibri" w:hAnsi="Times New Roman" w:cs="Times New Roman"/>
                <w:sz w:val="20"/>
                <w:szCs w:val="20"/>
              </w:rPr>
              <w:t>wysokie ryzyko rozwoju przerzutów,</w:t>
            </w:r>
            <w:r w:rsidRPr="00D652EA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zdefiniowane jako</w:t>
            </w:r>
            <w:r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52EA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czas podwojenia stężenia PSA (PSA </w:t>
            </w:r>
            <w:proofErr w:type="spellStart"/>
            <w:r w:rsidRPr="00D652EA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doubling</w:t>
            </w:r>
            <w:proofErr w:type="spellEnd"/>
            <w:r w:rsidRPr="00D652EA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proofErr w:type="spellStart"/>
            <w:r w:rsidRPr="00D652EA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time</w:t>
            </w:r>
            <w:proofErr w:type="spellEnd"/>
            <w:r w:rsidRPr="00D652EA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– PSA DT) ≤ 10 miesięcy</w:t>
            </w:r>
            <w:r w:rsidR="004178CD" w:rsidRPr="00D652EA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;</w:t>
            </w:r>
            <w:r w:rsidRPr="00D652EA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</w:p>
          <w:p w14:paraId="61009F06" w14:textId="62905E17" w:rsidR="004506CC" w:rsidRPr="00D652EA" w:rsidRDefault="004506CC" w:rsidP="00D652EA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niestosowanie wcześniejszego leczenia octanem </w:t>
            </w:r>
            <w:proofErr w:type="spellStart"/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abirateronu</w:t>
            </w:r>
            <w:proofErr w:type="spellEnd"/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21C4D50A" w14:textId="010FCFEC" w:rsidR="00740F85" w:rsidRPr="00D652EA" w:rsidRDefault="002626B6" w:rsidP="00D652EA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brak napadów padaczkowych w wywiadzie lub innych czynników predysponujących do ich wystąpienia (w przypadku leczenia </w:t>
            </w:r>
            <w:proofErr w:type="spellStart"/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apalutamidem</w:t>
            </w:r>
            <w:proofErr w:type="spellEnd"/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albo </w:t>
            </w:r>
            <w:proofErr w:type="spellStart"/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enzalutamidem</w:t>
            </w:r>
            <w:proofErr w:type="spellEnd"/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)</w:t>
            </w:r>
            <w:r w:rsidR="00E46071"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.</w:t>
            </w:r>
          </w:p>
          <w:p w14:paraId="56A8361F" w14:textId="77777777" w:rsidR="00E46071" w:rsidRPr="00D652EA" w:rsidRDefault="00E46071" w:rsidP="00D652EA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14:paraId="659B6701" w14:textId="69FC452F" w:rsidR="007A055A" w:rsidRPr="00D652EA" w:rsidRDefault="00BE3676" w:rsidP="00D652EA">
            <w:pPr>
              <w:pStyle w:val="Akapitzlist"/>
              <w:numPr>
                <w:ilvl w:val="2"/>
                <w:numId w:val="2"/>
              </w:numPr>
              <w:tabs>
                <w:tab w:val="left" w:pos="478"/>
              </w:tabs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</w:pPr>
            <w:r w:rsidRPr="00D652E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Chorych</w:t>
            </w:r>
            <w:r w:rsidR="00F149E9" w:rsidRPr="00D652E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na</w:t>
            </w:r>
            <w:r w:rsidRPr="00D652E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  <w:r w:rsidR="00D761A4" w:rsidRPr="00D652E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opornego na kastrację raka gruczołu krokowego z przerzutami</w:t>
            </w:r>
            <w:r w:rsidR="00E46DE2" w:rsidRPr="00D652E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="00F149E9" w:rsidRPr="00D652E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>enzalutamidem</w:t>
            </w:r>
            <w:proofErr w:type="spellEnd"/>
            <w:r w:rsidR="00F149E9" w:rsidRPr="00D652E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 xml:space="preserve"> </w:t>
            </w:r>
            <w:r w:rsidR="00E46DE2" w:rsidRPr="00D652E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 xml:space="preserve">przed zastosowaniem </w:t>
            </w:r>
            <w:proofErr w:type="spellStart"/>
            <w:r w:rsidR="00663736" w:rsidRPr="00D652E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>docetakselu</w:t>
            </w:r>
            <w:proofErr w:type="spellEnd"/>
            <w:r w:rsidR="00E74034" w:rsidRPr="00D652E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 xml:space="preserve"> </w:t>
            </w:r>
            <w:r w:rsidR="00F149E9" w:rsidRPr="00D652E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>(</w:t>
            </w:r>
            <w:r w:rsidR="002908D9" w:rsidRPr="00D652E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>gdy zastosowanie chemioterapii nie jest wskazane klinicznie</w:t>
            </w:r>
            <w:r w:rsidR="00F149E9" w:rsidRPr="00D652E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>)</w:t>
            </w:r>
            <w:r w:rsidR="002908D9" w:rsidRPr="00D652E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 xml:space="preserve"> </w:t>
            </w:r>
            <w:r w:rsidR="00E46DE2" w:rsidRPr="00D652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lub po zastosowaniu </w:t>
            </w:r>
            <w:proofErr w:type="spellStart"/>
            <w:r w:rsidR="00E46DE2" w:rsidRPr="00D652E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docetakselu</w:t>
            </w:r>
            <w:proofErr w:type="spellEnd"/>
            <w:r w:rsidR="00E46DE2" w:rsidRPr="00D652E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 xml:space="preserve"> </w:t>
            </w:r>
          </w:p>
          <w:p w14:paraId="4B974496" w14:textId="5B64B54D" w:rsidR="00E46DE2" w:rsidRPr="00D652EA" w:rsidRDefault="00E46DE2" w:rsidP="00D652EA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D652E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stadium oporności na kastrację, określone na podstawie oznaczenia stężenia testosteronu w surowicy wynoszącego </w:t>
            </w:r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50 </w:t>
            </w:r>
            <w:proofErr w:type="spellStart"/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ng</w:t>
            </w:r>
            <w:proofErr w:type="spellEnd"/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/dl lub mniej (tj. wynoszącego 1,7 </w:t>
            </w:r>
            <w:proofErr w:type="spellStart"/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nmol</w:t>
            </w:r>
            <w:proofErr w:type="spellEnd"/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/l lub mniej), u chorych z progresją choroby ocenioną wg kryterium w pkt 2;</w:t>
            </w:r>
          </w:p>
          <w:p w14:paraId="02BD75A5" w14:textId="152D297F" w:rsidR="00FD1A72" w:rsidRPr="00D652EA" w:rsidRDefault="007F36A1" w:rsidP="00D652EA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progresja choroby określona na podstawie trzech kolejnych wzrostów stężenia PSA, oznaczonego w co najmniej tygodniowych odstępach, z dwoma wzrostami o co najmniej 50% wobec wartości wyjściowej (nadir) i stężenie PSA &gt;2 </w:t>
            </w:r>
            <w:proofErr w:type="spellStart"/>
            <w:r w:rsidRPr="00D652EA">
              <w:rPr>
                <w:rFonts w:ascii="Times New Roman" w:hAnsi="Times New Roman" w:cs="Times New Roman"/>
                <w:sz w:val="20"/>
                <w:szCs w:val="20"/>
              </w:rPr>
              <w:t>ng</w:t>
            </w:r>
            <w:proofErr w:type="spellEnd"/>
            <w:r w:rsidRPr="00D652EA">
              <w:rPr>
                <w:rFonts w:ascii="Times New Roman" w:hAnsi="Times New Roman" w:cs="Times New Roman"/>
                <w:sz w:val="20"/>
                <w:szCs w:val="20"/>
              </w:rPr>
              <w:t>/ml</w:t>
            </w:r>
          </w:p>
          <w:p w14:paraId="158D2F4E" w14:textId="59F3B942" w:rsidR="00FD1A72" w:rsidRPr="00D652EA" w:rsidRDefault="00E46DE2" w:rsidP="00D652EA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lub </w:t>
            </w:r>
          </w:p>
          <w:p w14:paraId="62B05163" w14:textId="30F72D2F" w:rsidR="00A15C0B" w:rsidRPr="00D652EA" w:rsidRDefault="00E46DE2" w:rsidP="00D652EA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progresj</w:t>
            </w:r>
            <w:r w:rsidR="00B55C73"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</w:t>
            </w:r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zmian (układ kostny, narządy wewnętrzne, tkanki miękkie) w badaniach obrazowych</w:t>
            </w:r>
            <w:r w:rsidR="00083719"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3EA21F7A" w14:textId="043829C5" w:rsidR="004506CC" w:rsidRPr="00D652EA" w:rsidRDefault="004506CC" w:rsidP="00D652EA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niestosowanie wcześniejszego leczenia octanem </w:t>
            </w:r>
            <w:proofErr w:type="spellStart"/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abirateronu</w:t>
            </w:r>
            <w:proofErr w:type="spellEnd"/>
            <w:r w:rsidR="00B54A2E"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.</w:t>
            </w:r>
          </w:p>
          <w:p w14:paraId="20A0CFD1" w14:textId="77777777" w:rsidR="00E46071" w:rsidRPr="00D652EA" w:rsidRDefault="00E46071" w:rsidP="00D652EA">
            <w:p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  <w:p w14:paraId="152A847D" w14:textId="3A83D3ED" w:rsidR="00E36E5E" w:rsidRPr="00D652EA" w:rsidRDefault="00BE3676" w:rsidP="00D652EA">
            <w:pPr>
              <w:pStyle w:val="Akapitzlist"/>
              <w:numPr>
                <w:ilvl w:val="2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D652E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lastRenderedPageBreak/>
              <w:t>Chorych na</w:t>
            </w:r>
            <w:r w:rsidR="00D761A4" w:rsidRPr="00D652E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opornego na kastrację raka gruczołu krokowego</w:t>
            </w:r>
            <w:r w:rsidR="00D761A4"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D761A4" w:rsidRPr="00D652E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z przerzutami</w:t>
            </w:r>
            <w:r w:rsidR="00F149E9" w:rsidRPr="00D652E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="00E36E5E" w:rsidRPr="00D652E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olaparybem</w:t>
            </w:r>
            <w:proofErr w:type="spellEnd"/>
          </w:p>
          <w:p w14:paraId="1B2961B1" w14:textId="77777777" w:rsidR="00E36E5E" w:rsidRPr="00D652EA" w:rsidRDefault="00E36E5E" w:rsidP="00D652EA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</w:pPr>
            <w:r w:rsidRPr="00D652E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stadium oporności na kastrację, określone na podstawie oznaczenia stężenia testosteronu w surowicy wynoszącego </w:t>
            </w:r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50 </w:t>
            </w:r>
            <w:proofErr w:type="spellStart"/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ng</w:t>
            </w:r>
            <w:proofErr w:type="spellEnd"/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/dl lub mniej (tj. wynoszącego 1,7 </w:t>
            </w:r>
            <w:proofErr w:type="spellStart"/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nmol</w:t>
            </w:r>
            <w:proofErr w:type="spellEnd"/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/l lub mniej), u chorych z progresją choroby ocenioną wg kryterium w pkt 2;</w:t>
            </w:r>
          </w:p>
          <w:p w14:paraId="1D957235" w14:textId="7685E29E" w:rsidR="00E36E5E" w:rsidRPr="00D652EA" w:rsidRDefault="00E36E5E" w:rsidP="00D652EA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progresja choroby określona na podstawie trzech kolejnych wzrostów stężenia PSA, oznaczonego w co najmniej tygodniowych odstępach, z dwoma wzrostami o co najmniej 50% wobec wartości wyjściowej (nadir) i stężenie PSA &gt;2 </w:t>
            </w:r>
            <w:proofErr w:type="spellStart"/>
            <w:r w:rsidRPr="00D652EA">
              <w:rPr>
                <w:rFonts w:ascii="Times New Roman" w:hAnsi="Times New Roman" w:cs="Times New Roman"/>
                <w:sz w:val="20"/>
                <w:szCs w:val="20"/>
              </w:rPr>
              <w:t>ng</w:t>
            </w:r>
            <w:proofErr w:type="spellEnd"/>
            <w:r w:rsidRPr="00D652EA">
              <w:rPr>
                <w:rFonts w:ascii="Times New Roman" w:hAnsi="Times New Roman" w:cs="Times New Roman"/>
                <w:sz w:val="20"/>
                <w:szCs w:val="20"/>
              </w:rPr>
              <w:t>/ml</w:t>
            </w:r>
          </w:p>
          <w:p w14:paraId="094B29DB" w14:textId="77777777" w:rsidR="00E36E5E" w:rsidRPr="00D652EA" w:rsidRDefault="00E36E5E" w:rsidP="00D652EA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lub </w:t>
            </w:r>
          </w:p>
          <w:p w14:paraId="3E5D36BA" w14:textId="4E8C8F99" w:rsidR="001869D7" w:rsidRPr="00D652EA" w:rsidRDefault="00E36E5E" w:rsidP="00D652EA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progresja zmian (układ kostny, narządy wewnętrzne, tkanki miękkie) w badaniach obrazowych;</w:t>
            </w:r>
          </w:p>
          <w:p w14:paraId="692577F3" w14:textId="79C6D039" w:rsidR="001869D7" w:rsidRPr="00D652EA" w:rsidRDefault="001869D7" w:rsidP="00D652EA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</w:pPr>
            <w:r w:rsidRPr="00D652E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progresj</w:t>
            </w:r>
            <w:r w:rsidR="00715E60" w:rsidRPr="00D652E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a</w:t>
            </w:r>
            <w:r w:rsidRPr="00D652E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choroby podczas terapii lekiem hormonalnym nowej generacji (możliwe wcześniejsze </w:t>
            </w:r>
            <w:r w:rsidR="00E46071" w:rsidRPr="00D652E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zas</w:t>
            </w:r>
            <w:r w:rsidRPr="00D652E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tosowanie </w:t>
            </w:r>
            <w:proofErr w:type="spellStart"/>
            <w:r w:rsidRPr="00D652E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docetakselu</w:t>
            </w:r>
            <w:proofErr w:type="spellEnd"/>
            <w:r w:rsidRPr="00D652E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lub </w:t>
            </w:r>
            <w:proofErr w:type="spellStart"/>
            <w:r w:rsidRPr="00D652E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kabazytakselu</w:t>
            </w:r>
            <w:proofErr w:type="spellEnd"/>
            <w:r w:rsidRPr="00D652E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przed lub po leku hormonalnym nowej generacji, o ile stwierdzono nieskuteczność chemioterapii)</w:t>
            </w:r>
            <w:r w:rsidR="00B54A2E" w:rsidRPr="00D652E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;</w:t>
            </w:r>
          </w:p>
          <w:p w14:paraId="1FB9E91F" w14:textId="016DB781" w:rsidR="00E36E5E" w:rsidRPr="00D652EA" w:rsidRDefault="00E36E5E" w:rsidP="00D652EA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</w:pPr>
            <w:r w:rsidRPr="00D652E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obecność patogennej lub prawdopodobnie patogennej mutacji (</w:t>
            </w:r>
            <w:proofErr w:type="spellStart"/>
            <w:r w:rsidRPr="00D652E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germinalnej</w:t>
            </w:r>
            <w:proofErr w:type="spellEnd"/>
            <w:r w:rsidRPr="00D652E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lub somatycznej) w genie </w:t>
            </w:r>
            <w:r w:rsidRPr="00D652EA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  <w:lang w:bidi="pl-PL"/>
              </w:rPr>
              <w:t>BRCA1</w:t>
            </w:r>
            <w:r w:rsidRPr="00D652E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lub </w:t>
            </w:r>
            <w:r w:rsidRPr="00D652EA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  <w:lang w:bidi="pl-PL"/>
              </w:rPr>
              <w:t>BRCA2</w:t>
            </w:r>
            <w:r w:rsidRPr="00D652E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;</w:t>
            </w:r>
          </w:p>
          <w:p w14:paraId="5A93281C" w14:textId="31C8C2A0" w:rsidR="00CA530A" w:rsidRPr="00D652EA" w:rsidRDefault="00E36E5E" w:rsidP="00D652EA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</w:pPr>
            <w:r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u </w:t>
            </w:r>
            <w:r w:rsidR="00CA530A" w:rsidRPr="00D652EA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proofErr w:type="spellStart"/>
            <w:r w:rsidRPr="00D652EA">
              <w:rPr>
                <w:rFonts w:ascii="Times New Roman" w:hAnsi="Times New Roman" w:cs="Times New Roman"/>
                <w:sz w:val="20"/>
                <w:szCs w:val="20"/>
              </w:rPr>
              <w:t>klirensem</w:t>
            </w:r>
            <w:proofErr w:type="spellEnd"/>
            <w:r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 kreatyniny 31-50 ml/min należy zmniejszyć dawkę leku zgodnie z </w:t>
            </w:r>
            <w:proofErr w:type="spellStart"/>
            <w:r w:rsidRPr="00D652EA">
              <w:rPr>
                <w:rFonts w:ascii="Times New Roman" w:hAnsi="Times New Roman" w:cs="Times New Roman"/>
                <w:sz w:val="20"/>
                <w:szCs w:val="20"/>
              </w:rPr>
              <w:t>ChPL</w:t>
            </w:r>
            <w:proofErr w:type="spellEnd"/>
            <w:r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, nie wolno stosować leku, kiedy </w:t>
            </w:r>
            <w:proofErr w:type="spellStart"/>
            <w:r w:rsidRPr="00D652EA">
              <w:rPr>
                <w:rFonts w:ascii="Times New Roman" w:hAnsi="Times New Roman" w:cs="Times New Roman"/>
                <w:sz w:val="20"/>
                <w:szCs w:val="20"/>
              </w:rPr>
              <w:t>klirens</w:t>
            </w:r>
            <w:proofErr w:type="spellEnd"/>
            <w:r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 wynosi 30 ml/min lub mniej</w:t>
            </w:r>
            <w:r w:rsidR="00802583" w:rsidRPr="00D652E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913ECDA" w14:textId="77777777" w:rsidR="001B16A1" w:rsidRPr="00D652EA" w:rsidRDefault="001B16A1" w:rsidP="00D652EA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</w:pPr>
          </w:p>
          <w:p w14:paraId="47C2E99B" w14:textId="2558B3EB" w:rsidR="007659D0" w:rsidRPr="00D652EA" w:rsidRDefault="007659D0" w:rsidP="00D652EA">
            <w:pPr>
              <w:pStyle w:val="Akapitzlist"/>
              <w:numPr>
                <w:ilvl w:val="2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D652E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Chorych na </w:t>
            </w:r>
            <w:bookmarkStart w:id="2" w:name="_Hlk130563261"/>
            <w:r w:rsidRPr="00D652E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opornego na kastrację raka gruczołu krokowego</w:t>
            </w:r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B321A9" w:rsidRPr="00D652E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z przerzutami </w:t>
            </w:r>
            <w:r w:rsidR="00A450CD" w:rsidRPr="00D652E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>(gdy zastosowanie chemioterapii nie jest wskazane klinicznie</w:t>
            </w:r>
            <w:r w:rsidR="00DC7E71" w:rsidRPr="00D652E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 xml:space="preserve"> na etapie </w:t>
            </w:r>
            <w:proofErr w:type="spellStart"/>
            <w:r w:rsidR="00DC7E71" w:rsidRPr="00D652E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>mCRPC</w:t>
            </w:r>
            <w:proofErr w:type="spellEnd"/>
            <w:r w:rsidR="00A450CD" w:rsidRPr="00D652E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pl-PL"/>
              </w:rPr>
              <w:t xml:space="preserve">) </w:t>
            </w:r>
            <w:bookmarkEnd w:id="2"/>
            <w:proofErr w:type="spellStart"/>
            <w:r w:rsidRPr="00D652E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niraparybem</w:t>
            </w:r>
            <w:proofErr w:type="spellEnd"/>
            <w:r w:rsidRPr="00D652E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+ octanem </w:t>
            </w:r>
            <w:proofErr w:type="spellStart"/>
            <w:r w:rsidRPr="00D652E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abirateronu</w:t>
            </w:r>
            <w:proofErr w:type="spellEnd"/>
          </w:p>
          <w:p w14:paraId="1B88AEE3" w14:textId="77777777" w:rsidR="007659D0" w:rsidRPr="00D652EA" w:rsidRDefault="007659D0" w:rsidP="00D652EA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</w:pPr>
            <w:r w:rsidRPr="00D652E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stadium oporności na kastrację, określone na podstawie oznaczenia stężenia testosteronu w surowicy wynoszącego </w:t>
            </w:r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50 </w:t>
            </w:r>
            <w:proofErr w:type="spellStart"/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ng</w:t>
            </w:r>
            <w:proofErr w:type="spellEnd"/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/dl lub mniej (tj. wynoszącego 1,7 </w:t>
            </w:r>
            <w:proofErr w:type="spellStart"/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nmol</w:t>
            </w:r>
            <w:proofErr w:type="spellEnd"/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/l lub mniej), u chorych z progresją choroby ocenioną wg kryterium w pkt 2;</w:t>
            </w:r>
          </w:p>
          <w:p w14:paraId="65A9EA31" w14:textId="77777777" w:rsidR="007659D0" w:rsidRPr="00D652EA" w:rsidRDefault="007659D0" w:rsidP="00D652EA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progresja choroby określona na podstawie trzech kolejnych wzrostów stężenia </w:t>
            </w:r>
            <w:r w:rsidRPr="00D652E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PSA, oznaczonego w co najmniej tygodniowych odstępach, z dwoma wzrostami o co najmniej 50% wobec wartości wyjściowej (nadir) i stężenie PSA &gt;2 </w:t>
            </w:r>
            <w:proofErr w:type="spellStart"/>
            <w:r w:rsidRPr="00D652EA">
              <w:rPr>
                <w:rFonts w:ascii="Times New Roman" w:hAnsi="Times New Roman" w:cs="Times New Roman"/>
                <w:sz w:val="20"/>
                <w:szCs w:val="20"/>
              </w:rPr>
              <w:t>ng</w:t>
            </w:r>
            <w:proofErr w:type="spellEnd"/>
            <w:r w:rsidRPr="00D652EA">
              <w:rPr>
                <w:rFonts w:ascii="Times New Roman" w:hAnsi="Times New Roman" w:cs="Times New Roman"/>
                <w:sz w:val="20"/>
                <w:szCs w:val="20"/>
              </w:rPr>
              <w:t>/ml</w:t>
            </w:r>
          </w:p>
          <w:p w14:paraId="428A4EB0" w14:textId="77777777" w:rsidR="007659D0" w:rsidRPr="00D652EA" w:rsidRDefault="007659D0" w:rsidP="00D652EA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lub </w:t>
            </w:r>
          </w:p>
          <w:p w14:paraId="4EF99D90" w14:textId="77777777" w:rsidR="007659D0" w:rsidRPr="00D652EA" w:rsidRDefault="007659D0" w:rsidP="00D652EA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</w:pPr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progresja zmian (układ kostny, narządy wewnętrzne, tkanki miękkie) w badaniach obrazowych;</w:t>
            </w:r>
          </w:p>
          <w:p w14:paraId="591E7F2B" w14:textId="7D3582BD" w:rsidR="007659D0" w:rsidRPr="00D652EA" w:rsidRDefault="007659D0" w:rsidP="00D652EA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</w:pPr>
            <w:r w:rsidRPr="00D652E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ab/>
              <w:t>nieobecność wskazań do zastosowania chemioterapii</w:t>
            </w:r>
            <w:r w:rsidR="00A450CD" w:rsidRPr="00D652E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w I linii leczenia </w:t>
            </w:r>
            <w:proofErr w:type="spellStart"/>
            <w:r w:rsidR="00A450CD" w:rsidRPr="00D652E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mCRPC</w:t>
            </w:r>
            <w:proofErr w:type="spellEnd"/>
            <w:r w:rsidR="00A450CD" w:rsidRPr="00D652E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)</w:t>
            </w:r>
            <w:r w:rsidRPr="00D652E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;</w:t>
            </w:r>
          </w:p>
          <w:p w14:paraId="02017702" w14:textId="77777777" w:rsidR="007659D0" w:rsidRPr="00D652EA" w:rsidRDefault="007659D0" w:rsidP="00D652EA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</w:pPr>
            <w:r w:rsidRPr="00D652E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niestosowanie wcześniejszego leczenia octanem </w:t>
            </w:r>
            <w:proofErr w:type="spellStart"/>
            <w:r w:rsidRPr="00D652E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abirateronu</w:t>
            </w:r>
            <w:proofErr w:type="spellEnd"/>
            <w:r w:rsidRPr="00D652E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(z wyjątkiem pacjentów, którzy kontynuują leczenie </w:t>
            </w:r>
            <w:proofErr w:type="spellStart"/>
            <w:r w:rsidRPr="00D652E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mCRPC</w:t>
            </w:r>
            <w:proofErr w:type="spellEnd"/>
            <w:r w:rsidRPr="00D652E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rozpoczęte maksymalnie 4 miesiące wstecz, o ile w trakcie leczenia pacjent nie doznał progresji choroby (nie jest konieczne wykonywanie badań obrazowych, chyba że występują wskazania kliniczne do ich wykonania)); </w:t>
            </w:r>
          </w:p>
          <w:p w14:paraId="0D3F27CD" w14:textId="5E962DF9" w:rsidR="007659D0" w:rsidRPr="00D652EA" w:rsidRDefault="007659D0" w:rsidP="00D652EA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</w:pPr>
            <w:r w:rsidRPr="00D652E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niestosowanie wcześniejszego leczenia </w:t>
            </w:r>
            <w:r w:rsidR="00DC7E71" w:rsidRPr="00D652E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niesteroidowymi </w:t>
            </w:r>
            <w:proofErr w:type="spellStart"/>
            <w:r w:rsidR="00DC7E71" w:rsidRPr="00D652E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antyandrogenemi</w:t>
            </w:r>
            <w:proofErr w:type="spellEnd"/>
            <w:r w:rsidR="00DC7E71" w:rsidRPr="00D652E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;</w:t>
            </w:r>
          </w:p>
          <w:p w14:paraId="1F83C2B0" w14:textId="2CD2A4D3" w:rsidR="004F1E10" w:rsidRPr="00D652EA" w:rsidRDefault="007659D0" w:rsidP="00D652EA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</w:pPr>
            <w:r w:rsidRPr="00D652E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niestosowanie wcześniejszego leczenia inhibitorami PARP</w:t>
            </w:r>
            <w:r w:rsidR="00A450CD" w:rsidRPr="00D652E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;</w:t>
            </w:r>
          </w:p>
          <w:p w14:paraId="09BE6204" w14:textId="77777777" w:rsidR="007659D0" w:rsidRPr="00D652EA" w:rsidRDefault="007659D0" w:rsidP="00D652EA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</w:pPr>
            <w:r w:rsidRPr="00D652E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obecność patogennej lub prawdopodobnie patogennej mutacji (</w:t>
            </w:r>
            <w:proofErr w:type="spellStart"/>
            <w:r w:rsidRPr="00D652E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germinalnej</w:t>
            </w:r>
            <w:proofErr w:type="spellEnd"/>
            <w:r w:rsidRPr="00D652E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lub somatycznej) w genie </w:t>
            </w:r>
            <w:r w:rsidRPr="00D652EA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  <w:lang w:bidi="pl-PL"/>
              </w:rPr>
              <w:t>BRCA1</w:t>
            </w:r>
            <w:r w:rsidRPr="00D652E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lub </w:t>
            </w:r>
            <w:r w:rsidRPr="00D652EA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  <w:lang w:bidi="pl-PL"/>
              </w:rPr>
              <w:t>BRCA2;</w:t>
            </w:r>
          </w:p>
          <w:p w14:paraId="43F7AB6E" w14:textId="16EB03BE" w:rsidR="00801309" w:rsidRPr="00D652EA" w:rsidRDefault="001B16A1" w:rsidP="00D652EA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</w:pPr>
            <w:r w:rsidRPr="00D652EA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u chorych z </w:t>
            </w:r>
            <w:proofErr w:type="spellStart"/>
            <w:r w:rsidRPr="00D652EA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klirensem</w:t>
            </w:r>
            <w:proofErr w:type="spellEnd"/>
            <w:r w:rsidRPr="00D652EA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kreatyniny 31-50 ml/min należy zmniejszyć dawkę leku zgodnie z </w:t>
            </w:r>
            <w:proofErr w:type="spellStart"/>
            <w:r w:rsidRPr="00D652EA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ChPL</w:t>
            </w:r>
            <w:proofErr w:type="spellEnd"/>
            <w:r w:rsidRPr="00D652EA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, nie wolno stosować leku, kiedy </w:t>
            </w:r>
            <w:proofErr w:type="spellStart"/>
            <w:r w:rsidRPr="00D652EA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klirens</w:t>
            </w:r>
            <w:proofErr w:type="spellEnd"/>
            <w:r w:rsidRPr="00D652EA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wynosi 30 ml/min lub mniej.</w:t>
            </w:r>
          </w:p>
          <w:p w14:paraId="20E32128" w14:textId="5909E1B7" w:rsidR="007243BA" w:rsidRPr="00D652EA" w:rsidRDefault="007243BA" w:rsidP="00D652EA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52EA">
              <w:rPr>
                <w:rFonts w:ascii="Times New Roman" w:hAnsi="Times New Roman" w:cs="Times New Roman"/>
                <w:sz w:val="20"/>
                <w:szCs w:val="20"/>
              </w:rPr>
              <w:t>Ponadto do programu lekowego kwalifikowani są również pacjenci wymagający kontynuacji leczenia, którzy byli leczeni substancjami czynnymi finansowanymi w programie lekowym w ramach innego sposobu finansowania terapii, za wyjątkiem trwających badań klinicznych tych leków, pod warunkiem, że w chwili rozpoczęcia leczenia spełniali kryteria kwalifikacji do programu lekowego.</w:t>
            </w:r>
          </w:p>
          <w:p w14:paraId="047F3045" w14:textId="77777777" w:rsidR="00D658D8" w:rsidRPr="00D652EA" w:rsidRDefault="00D658D8" w:rsidP="00D652E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D68547E" w14:textId="38B3959D" w:rsidR="00904B9D" w:rsidRPr="00D652EA" w:rsidRDefault="00904B9D" w:rsidP="00D652EA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652E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Czas leczenia w programie</w:t>
            </w:r>
          </w:p>
          <w:p w14:paraId="5CC05059" w14:textId="4D4D3E98" w:rsidR="00801309" w:rsidRPr="00D652EA" w:rsidRDefault="00FB55D4" w:rsidP="00D652EA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" w:name="_Hlk125722377"/>
            <w:r w:rsidRPr="00D652EA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1B68C0" w:rsidRPr="00D652EA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0D62D3"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B68C0" w:rsidRPr="00D652EA">
              <w:rPr>
                <w:rFonts w:ascii="Times New Roman" w:hAnsi="Times New Roman" w:cs="Times New Roman"/>
                <w:sz w:val="20"/>
                <w:szCs w:val="20"/>
              </w:rPr>
              <w:t>trwa do czasu podjęcia przez lekarza prowadzącego decyzji o wyłączeniu świadczeniobiorcy z programu, zgodnie z kryteriami wyłączenia</w:t>
            </w:r>
            <w:bookmarkEnd w:id="3"/>
            <w:r w:rsidRPr="00D652EA">
              <w:rPr>
                <w:rFonts w:ascii="Times New Roman" w:hAnsi="Times New Roman" w:cs="Times New Roman"/>
                <w:sz w:val="20"/>
                <w:szCs w:val="20"/>
              </w:rPr>
              <w:t>, o których mowa w pkt 3</w:t>
            </w:r>
            <w:r w:rsidR="00A0274F" w:rsidRPr="00D652E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ACD893E" w14:textId="77777777" w:rsidR="00D658D8" w:rsidRPr="00D652EA" w:rsidRDefault="00D658D8" w:rsidP="00D652EA">
            <w:p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8ACBC5" w14:textId="7B6499AC" w:rsidR="003A6A07" w:rsidRPr="00D652EA" w:rsidRDefault="003A6A07" w:rsidP="00D652EA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652E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Kryteria wy</w:t>
            </w:r>
            <w:r w:rsidR="006B377A" w:rsidRPr="00D652E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łączenia</w:t>
            </w:r>
            <w:r w:rsidRPr="00D652EA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z programu</w:t>
            </w:r>
          </w:p>
          <w:p w14:paraId="377B7C10" w14:textId="600505AB" w:rsidR="00D5612B" w:rsidRPr="00D652EA" w:rsidRDefault="00D5612B" w:rsidP="00D652EA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progresja choroby w trakcie stosowania leku, definiowana według następujących kryteriów: </w:t>
            </w:r>
          </w:p>
          <w:p w14:paraId="419596B8" w14:textId="4E814ADE" w:rsidR="002B3AD8" w:rsidRPr="00D652EA" w:rsidRDefault="002B3AD8" w:rsidP="00D652EA">
            <w:pPr>
              <w:pStyle w:val="Akapitzlist"/>
              <w:numPr>
                <w:ilvl w:val="0"/>
                <w:numId w:val="6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progresji choroby określonej na podstawie trzech kolejnych wzrostów stężenia PSA, oznaczonego w co najmniej tygodniowych odstępach, z dwoma wzrostami o co najmniej 50% wobec najniższej wartości osiągniętej w trakcie terapii (nadir) i stężenie PSA &gt;2 </w:t>
            </w:r>
            <w:proofErr w:type="spellStart"/>
            <w:r w:rsidRPr="00D652EA">
              <w:rPr>
                <w:rFonts w:ascii="Times New Roman" w:hAnsi="Times New Roman" w:cs="Times New Roman"/>
                <w:sz w:val="20"/>
                <w:szCs w:val="20"/>
              </w:rPr>
              <w:t>ng</w:t>
            </w:r>
            <w:proofErr w:type="spellEnd"/>
            <w:r w:rsidRPr="00D652EA">
              <w:rPr>
                <w:rFonts w:ascii="Times New Roman" w:hAnsi="Times New Roman" w:cs="Times New Roman"/>
                <w:sz w:val="20"/>
                <w:szCs w:val="20"/>
              </w:rPr>
              <w:t>/ml, chyba że lekarz prowadzący uzna, że leczenie przynosi udokumentowaną korzyść kliniczną i nieuzasadnione jest (albo niemożliwe) zastosowanie terapii kolejnej linii</w:t>
            </w:r>
          </w:p>
          <w:p w14:paraId="72B25E50" w14:textId="06A34B8A" w:rsidR="0073533D" w:rsidRPr="00D652EA" w:rsidRDefault="0073533D" w:rsidP="00D652EA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47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52E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3FD91EFF" w14:textId="1CE9C736" w:rsidR="0073533D" w:rsidRPr="00D652EA" w:rsidRDefault="00541E1B" w:rsidP="00D652EA">
            <w:pPr>
              <w:pStyle w:val="Akapitzlist"/>
              <w:numPr>
                <w:ilvl w:val="0"/>
                <w:numId w:val="6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52EA">
              <w:rPr>
                <w:rFonts w:ascii="Times New Roman" w:hAnsi="Times New Roman" w:cs="Times New Roman"/>
                <w:sz w:val="20"/>
                <w:szCs w:val="20"/>
              </w:rPr>
              <w:t>progresji choroby ustalonej na podstawie aktualnej klasyfikacji RECIST (dla zmian w tkankach miękkich) lub PCWG (dla zmian w układzie kostnym);</w:t>
            </w:r>
          </w:p>
          <w:p w14:paraId="3D2114A2" w14:textId="70EA977B" w:rsidR="00437501" w:rsidRPr="00D652EA" w:rsidRDefault="00B874E8" w:rsidP="00D652EA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utrzymujące się </w:t>
            </w:r>
            <w:r w:rsidR="00246D05"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pogorszenie </w:t>
            </w:r>
            <w:r w:rsidR="001578E7"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stanu </w:t>
            </w:r>
            <w:r w:rsidR="00246D05" w:rsidRPr="00D652EA">
              <w:rPr>
                <w:rFonts w:ascii="Times New Roman" w:hAnsi="Times New Roman" w:cs="Times New Roman"/>
                <w:sz w:val="20"/>
                <w:szCs w:val="20"/>
              </w:rPr>
              <w:t>sprawności</w:t>
            </w:r>
            <w:r w:rsidR="00DC1BBE" w:rsidRPr="00D652E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4C226C"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FA65A29" w14:textId="3DBD92AC" w:rsidR="00541E1B" w:rsidRPr="00D652EA" w:rsidRDefault="00DC1BBE" w:rsidP="00D652EA">
            <w:pPr>
              <w:pStyle w:val="Akapitzlist"/>
              <w:numPr>
                <w:ilvl w:val="4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52EA">
              <w:rPr>
                <w:rFonts w:ascii="Times New Roman" w:hAnsi="Times New Roman" w:cs="Times New Roman"/>
                <w:sz w:val="20"/>
                <w:szCs w:val="20"/>
              </w:rPr>
              <w:t>do stopnia 2-</w:t>
            </w:r>
            <w:r w:rsidR="0061756B" w:rsidRPr="00D652E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D652E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="00541E1B"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według ECOG w przypadku leczenia </w:t>
            </w:r>
            <w:proofErr w:type="spellStart"/>
            <w:r w:rsidR="00541E1B" w:rsidRPr="00D652EA">
              <w:rPr>
                <w:rFonts w:ascii="Times New Roman" w:hAnsi="Times New Roman" w:cs="Times New Roman"/>
                <w:sz w:val="20"/>
                <w:szCs w:val="20"/>
              </w:rPr>
              <w:t>apalutamidem</w:t>
            </w:r>
            <w:proofErr w:type="spellEnd"/>
            <w:r w:rsidR="0004714F"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04714F" w:rsidRPr="00D652EA">
              <w:rPr>
                <w:rFonts w:ascii="Times New Roman" w:hAnsi="Times New Roman" w:cs="Times New Roman"/>
                <w:sz w:val="20"/>
                <w:szCs w:val="20"/>
              </w:rPr>
              <w:t>darolutamidem</w:t>
            </w:r>
            <w:proofErr w:type="spellEnd"/>
            <w:r w:rsidR="00541E1B"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541E1B" w:rsidRPr="00D652EA">
              <w:rPr>
                <w:rFonts w:ascii="Times New Roman" w:hAnsi="Times New Roman" w:cs="Times New Roman"/>
                <w:sz w:val="20"/>
                <w:szCs w:val="20"/>
              </w:rPr>
              <w:t>nmCRPC</w:t>
            </w:r>
            <w:proofErr w:type="spellEnd"/>
            <w:r w:rsidR="00541E1B"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), </w:t>
            </w:r>
            <w:proofErr w:type="spellStart"/>
            <w:r w:rsidR="00541E1B" w:rsidRPr="00D652EA">
              <w:rPr>
                <w:rFonts w:ascii="Times New Roman" w:hAnsi="Times New Roman" w:cs="Times New Roman"/>
                <w:sz w:val="20"/>
                <w:szCs w:val="20"/>
              </w:rPr>
              <w:t>enzalutamidem</w:t>
            </w:r>
            <w:proofErr w:type="spellEnd"/>
            <w:r w:rsidR="00541E1B"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541E1B" w:rsidRPr="00D652EA">
              <w:rPr>
                <w:rFonts w:ascii="Times New Roman" w:hAnsi="Times New Roman" w:cs="Times New Roman"/>
                <w:sz w:val="20"/>
                <w:szCs w:val="20"/>
              </w:rPr>
              <w:t>nmCRPC</w:t>
            </w:r>
            <w:proofErr w:type="spellEnd"/>
            <w:r w:rsidR="00541E1B"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 albo </w:t>
            </w:r>
            <w:proofErr w:type="spellStart"/>
            <w:r w:rsidR="00541E1B" w:rsidRPr="00D652EA">
              <w:rPr>
                <w:rFonts w:ascii="Times New Roman" w:hAnsi="Times New Roman" w:cs="Times New Roman"/>
                <w:sz w:val="20"/>
                <w:szCs w:val="20"/>
              </w:rPr>
              <w:t>mCRPC</w:t>
            </w:r>
            <w:proofErr w:type="spellEnd"/>
            <w:r w:rsidR="00541E1B"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 przed podaniem </w:t>
            </w:r>
            <w:proofErr w:type="spellStart"/>
            <w:r w:rsidR="00541E1B" w:rsidRPr="00D652EA">
              <w:rPr>
                <w:rFonts w:ascii="Times New Roman" w:hAnsi="Times New Roman" w:cs="Times New Roman"/>
                <w:sz w:val="20"/>
                <w:szCs w:val="20"/>
              </w:rPr>
              <w:t>docetakselu</w:t>
            </w:r>
            <w:proofErr w:type="spellEnd"/>
            <w:r w:rsidR="00541E1B" w:rsidRPr="00D652E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04714F" w:rsidRPr="00D652E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FA26536" w14:textId="4C354FA6" w:rsidR="00DC1BBE" w:rsidRPr="00D652EA" w:rsidRDefault="005A6FC7" w:rsidP="00D652EA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52EA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4D6031D8" w14:textId="34415B02" w:rsidR="00B2401D" w:rsidRPr="00D652EA" w:rsidRDefault="00DC1BBE" w:rsidP="00D652EA">
            <w:pPr>
              <w:pStyle w:val="Akapitzlist"/>
              <w:numPr>
                <w:ilvl w:val="4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52EA">
              <w:rPr>
                <w:rFonts w:ascii="Times New Roman" w:hAnsi="Times New Roman" w:cs="Times New Roman"/>
                <w:sz w:val="20"/>
                <w:szCs w:val="20"/>
              </w:rPr>
              <w:t>do stopnia</w:t>
            </w:r>
            <w:r w:rsidRPr="00D652E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3-4 </w:t>
            </w:r>
            <w:r w:rsidR="00B2401D"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według ECOG w przypadku leczenia </w:t>
            </w:r>
            <w:proofErr w:type="spellStart"/>
            <w:r w:rsidR="002C6246" w:rsidRPr="00D652EA">
              <w:rPr>
                <w:rFonts w:ascii="Times New Roman" w:hAnsi="Times New Roman" w:cs="Times New Roman"/>
                <w:sz w:val="20"/>
                <w:szCs w:val="20"/>
              </w:rPr>
              <w:t>apalutamidem</w:t>
            </w:r>
            <w:proofErr w:type="spellEnd"/>
            <w:r w:rsidR="002C6246"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2C6246" w:rsidRPr="00D652EA">
              <w:rPr>
                <w:rFonts w:ascii="Times New Roman" w:hAnsi="Times New Roman" w:cs="Times New Roman"/>
                <w:sz w:val="20"/>
                <w:szCs w:val="20"/>
              </w:rPr>
              <w:t>mHSPC</w:t>
            </w:r>
            <w:proofErr w:type="spellEnd"/>
            <w:r w:rsidR="002C6246"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), </w:t>
            </w:r>
            <w:proofErr w:type="spellStart"/>
            <w:r w:rsidR="00E94001" w:rsidRPr="00D652EA">
              <w:rPr>
                <w:rFonts w:ascii="Times New Roman" w:hAnsi="Times New Roman" w:cs="Times New Roman"/>
                <w:sz w:val="20"/>
                <w:szCs w:val="20"/>
              </w:rPr>
              <w:t>darolutamidem</w:t>
            </w:r>
            <w:proofErr w:type="spellEnd"/>
            <w:r w:rsidR="00E94001"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E94001" w:rsidRPr="00D652EA">
              <w:rPr>
                <w:rFonts w:ascii="Times New Roman" w:hAnsi="Times New Roman" w:cs="Times New Roman"/>
                <w:sz w:val="20"/>
                <w:szCs w:val="20"/>
              </w:rPr>
              <w:t>mHSPC</w:t>
            </w:r>
            <w:proofErr w:type="spellEnd"/>
            <w:r w:rsidR="00E94001"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), </w:t>
            </w:r>
            <w:proofErr w:type="spellStart"/>
            <w:r w:rsidR="00B2401D" w:rsidRPr="00D652EA">
              <w:rPr>
                <w:rFonts w:ascii="Times New Roman" w:hAnsi="Times New Roman" w:cs="Times New Roman"/>
                <w:sz w:val="20"/>
                <w:szCs w:val="20"/>
              </w:rPr>
              <w:t>enzalutamidem</w:t>
            </w:r>
            <w:proofErr w:type="spellEnd"/>
            <w:r w:rsidR="00B2401D"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E94001" w:rsidRPr="00D652EA">
              <w:rPr>
                <w:rFonts w:ascii="Times New Roman" w:hAnsi="Times New Roman" w:cs="Times New Roman"/>
                <w:sz w:val="20"/>
                <w:szCs w:val="20"/>
              </w:rPr>
              <w:t>mHSPC</w:t>
            </w:r>
            <w:proofErr w:type="spellEnd"/>
            <w:r w:rsidR="00E94001"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B2401D" w:rsidRPr="00D652EA">
              <w:rPr>
                <w:rFonts w:ascii="Times New Roman" w:hAnsi="Times New Roman" w:cs="Times New Roman"/>
                <w:sz w:val="20"/>
                <w:szCs w:val="20"/>
              </w:rPr>
              <w:t>mCRPC</w:t>
            </w:r>
            <w:proofErr w:type="spellEnd"/>
            <w:r w:rsidR="00B2401D"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4714F"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po wcześniejszym leczeniu </w:t>
            </w:r>
            <w:proofErr w:type="spellStart"/>
            <w:r w:rsidR="0004714F" w:rsidRPr="00D652EA">
              <w:rPr>
                <w:rFonts w:ascii="Times New Roman" w:hAnsi="Times New Roman" w:cs="Times New Roman"/>
                <w:sz w:val="20"/>
                <w:szCs w:val="20"/>
              </w:rPr>
              <w:t>docetakselem</w:t>
            </w:r>
            <w:proofErr w:type="spellEnd"/>
            <w:r w:rsidR="00B2401D" w:rsidRPr="00D652E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04714F" w:rsidRPr="00D652E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2401D"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2401D" w:rsidRPr="00D652EA">
              <w:rPr>
                <w:rFonts w:ascii="Times New Roman" w:hAnsi="Times New Roman" w:cs="Times New Roman"/>
                <w:sz w:val="20"/>
                <w:szCs w:val="20"/>
              </w:rPr>
              <w:t>olaparybem</w:t>
            </w:r>
            <w:proofErr w:type="spellEnd"/>
            <w:r w:rsidR="00F405E5"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 albo </w:t>
            </w:r>
            <w:proofErr w:type="spellStart"/>
            <w:r w:rsidR="00F405E5" w:rsidRPr="00D652EA">
              <w:rPr>
                <w:rFonts w:ascii="Times New Roman" w:hAnsi="Times New Roman" w:cs="Times New Roman"/>
                <w:sz w:val="20"/>
                <w:szCs w:val="20"/>
              </w:rPr>
              <w:t>niraparybem</w:t>
            </w:r>
            <w:proofErr w:type="spellEnd"/>
            <w:r w:rsidR="00F405E5"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 + octanem </w:t>
            </w:r>
            <w:proofErr w:type="spellStart"/>
            <w:r w:rsidR="00F405E5" w:rsidRPr="00D652EA">
              <w:rPr>
                <w:rFonts w:ascii="Times New Roman" w:hAnsi="Times New Roman" w:cs="Times New Roman"/>
                <w:sz w:val="20"/>
                <w:szCs w:val="20"/>
              </w:rPr>
              <w:t>abirateronu</w:t>
            </w:r>
            <w:proofErr w:type="spellEnd"/>
            <w:r w:rsidR="00E07EF0" w:rsidRPr="00D652E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DB0045F" w14:textId="5B85BD04" w:rsidR="00C50CDC" w:rsidRPr="00D652EA" w:rsidRDefault="005E2726" w:rsidP="00D652EA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52EA">
              <w:rPr>
                <w:rFonts w:ascii="Times New Roman" w:hAnsi="Times New Roman" w:cs="Times New Roman"/>
                <w:sz w:val="20"/>
                <w:szCs w:val="20"/>
              </w:rPr>
              <w:t xml:space="preserve">wystąpienie objawów nadwrażliwości na którykolwiek ze stosowanych leków lub </w:t>
            </w:r>
            <w:r w:rsidR="00877F06" w:rsidRPr="00D652EA">
              <w:rPr>
                <w:rFonts w:ascii="Times New Roman" w:hAnsi="Times New Roman" w:cs="Times New Roman"/>
                <w:sz w:val="20"/>
                <w:szCs w:val="20"/>
              </w:rPr>
              <w:t>substancje pomocnicze</w:t>
            </w:r>
            <w:r w:rsidR="00445C80" w:rsidRPr="00D652E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6717DD7" w14:textId="64025F02" w:rsidR="00F05285" w:rsidRPr="00D652EA" w:rsidRDefault="006252F7" w:rsidP="00D652EA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wystąpienie toksyczności wymagającej zakończenia leczenia </w:t>
            </w:r>
            <w:r w:rsidR="00F05285"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w opinii lekarza prowadzącego lub </w:t>
            </w:r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zgodnie z aktualnie obowiązującą</w:t>
            </w:r>
            <w:r w:rsidR="00F05285"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="00F05285"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ChPL</w:t>
            </w:r>
            <w:proofErr w:type="spellEnd"/>
            <w:r w:rsidRPr="00D652EA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7A3B8342" w14:textId="1A8F389C" w:rsidR="00C50CDC" w:rsidRPr="00D652EA" w:rsidRDefault="00C50CDC" w:rsidP="00D652EA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52EA">
              <w:rPr>
                <w:rFonts w:ascii="Times New Roman" w:hAnsi="Times New Roman" w:cs="Times New Roman"/>
                <w:sz w:val="20"/>
                <w:szCs w:val="20"/>
              </w:rPr>
              <w:t>wystąpienie chorób lub stanów, które w opinii lekarza prowadzącego uniemożliwiają prowadzenie leczenia;</w:t>
            </w:r>
          </w:p>
          <w:p w14:paraId="4DD81EBB" w14:textId="0A0A8933" w:rsidR="006252F7" w:rsidRPr="00D652EA" w:rsidRDefault="006252F7" w:rsidP="00D652EA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52E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klinicznie istotne pogorszenie jakości życia w trakcie stosowania leku;</w:t>
            </w:r>
          </w:p>
          <w:p w14:paraId="080B3ACC" w14:textId="24783D47" w:rsidR="00EC2C42" w:rsidRPr="00D652EA" w:rsidRDefault="00A40059" w:rsidP="00D652EA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52EA">
              <w:rPr>
                <w:rFonts w:ascii="Times New Roman" w:hAnsi="Times New Roman" w:cs="Times New Roman"/>
                <w:sz w:val="20"/>
                <w:szCs w:val="20"/>
              </w:rPr>
              <w:t>brak współpracy lub nieprzestrzeganie zaleceń lekarskich, w tym zwłaszcza dotyczących okresowych badań kontrolnych oceniających skuteczność i bezpieczeństwo leczenia ze strony świadczeniobiorcy</w:t>
            </w:r>
            <w:r w:rsidR="00E27438" w:rsidRPr="00D652E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204C4CF" w14:textId="793ADB6D" w:rsidR="007C23DB" w:rsidRPr="00E21881" w:rsidRDefault="007C23DB" w:rsidP="00303C40">
            <w:pPr>
              <w:pStyle w:val="Akapitzlist"/>
              <w:spacing w:after="60" w:line="276" w:lineRule="auto"/>
              <w:ind w:left="35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B5FFC" w14:textId="45EF44BF" w:rsidR="00B54A2E" w:rsidRPr="00E21881" w:rsidRDefault="00B54A2E" w:rsidP="00303C40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218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Dawkowanie</w:t>
            </w:r>
            <w:r w:rsidR="004377CE" w:rsidRPr="00E218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leków</w:t>
            </w:r>
          </w:p>
          <w:p w14:paraId="28B18784" w14:textId="4159B446" w:rsidR="007F72A0" w:rsidRPr="00E21881" w:rsidRDefault="007F72A0" w:rsidP="00303C4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E21881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U chorych, którzy nie byli uprzednio poddani </w:t>
            </w:r>
            <w:proofErr w:type="spellStart"/>
            <w:r w:rsidRPr="00E21881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orchidektomii</w:t>
            </w:r>
            <w:proofErr w:type="spellEnd"/>
            <w:r w:rsidRPr="00E21881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należy utrzymać supresję androgenową z zastosowaniem agonistów </w:t>
            </w:r>
            <w:r w:rsidRPr="00E21881">
              <w:rPr>
                <w:rFonts w:ascii="Times New Roman" w:hAnsi="Times New Roman" w:cs="Times New Roman"/>
                <w:sz w:val="20"/>
                <w:szCs w:val="20"/>
              </w:rPr>
              <w:t>lub antagonistów</w:t>
            </w:r>
            <w:r w:rsidRPr="00E21881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LHRH</w:t>
            </w:r>
            <w:r w:rsidR="003B2D8A" w:rsidRPr="00E21881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.</w:t>
            </w:r>
            <w:r w:rsidRPr="00E21881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</w:t>
            </w:r>
          </w:p>
          <w:p w14:paraId="2967A5BC" w14:textId="2D482BD8" w:rsidR="00961AC7" w:rsidRPr="00E21881" w:rsidRDefault="007D36CB" w:rsidP="00303C40">
            <w:pPr>
              <w:pStyle w:val="Akapitzlist"/>
              <w:widowControl w:val="0"/>
              <w:numPr>
                <w:ilvl w:val="3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</w:pPr>
            <w:proofErr w:type="spellStart"/>
            <w:r w:rsidRPr="00E21881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a</w:t>
            </w:r>
            <w:r w:rsidR="00F53DA3" w:rsidRPr="00E21881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palutamid</w:t>
            </w:r>
            <w:proofErr w:type="spellEnd"/>
            <w:r w:rsidR="00961AC7" w:rsidRPr="00E21881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:</w:t>
            </w:r>
            <w:r w:rsidR="00303C40" w:rsidRPr="00E21881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C74732" w:rsidRPr="00E21881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z</w:t>
            </w:r>
            <w:r w:rsidR="00F53DA3" w:rsidRPr="00E21881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alecana</w:t>
            </w:r>
            <w:r w:rsidR="00A862A6" w:rsidRPr="00E21881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E21881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dawka</w:t>
            </w:r>
            <w:r w:rsidR="00A862A6" w:rsidRPr="00E21881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EE4089" w:rsidRPr="00E21881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wynosi</w:t>
            </w:r>
            <w:r w:rsidR="00A862A6" w:rsidRPr="00E21881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E21881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240</w:t>
            </w:r>
            <w:r w:rsidR="00A862A6" w:rsidRPr="00E21881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E21881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mg</w:t>
            </w:r>
            <w:r w:rsidR="00A862A6" w:rsidRPr="00E21881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E21881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(cztery</w:t>
            </w:r>
            <w:r w:rsidR="00A862A6" w:rsidRPr="00E21881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E21881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tabletki</w:t>
            </w:r>
            <w:r w:rsidR="00A862A6" w:rsidRPr="00E21881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E21881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po</w:t>
            </w:r>
            <w:r w:rsidR="00A862A6" w:rsidRPr="00E21881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E21881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60</w:t>
            </w:r>
            <w:r w:rsidR="00A862A6" w:rsidRPr="00E21881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E21881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mg)</w:t>
            </w:r>
            <w:r w:rsidR="00A862A6" w:rsidRPr="00E21881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E21881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i</w:t>
            </w:r>
            <w:r w:rsidR="00A862A6" w:rsidRPr="00E21881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E21881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jest</w:t>
            </w:r>
            <w:r w:rsidR="00A862A6" w:rsidRPr="00E21881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E21881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stosowana</w:t>
            </w:r>
            <w:r w:rsidR="00A862A6" w:rsidRPr="00E21881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E21881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jednorazowo</w:t>
            </w:r>
            <w:r w:rsidR="00A862A6" w:rsidRPr="00E21881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E21881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co</w:t>
            </w:r>
            <w:r w:rsidR="00A862A6" w:rsidRPr="00E21881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E21881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24</w:t>
            </w:r>
            <w:r w:rsidR="00A862A6" w:rsidRPr="00E21881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E21881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godziny.</w:t>
            </w:r>
            <w:r w:rsidR="00A862A6" w:rsidRPr="00E21881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E21881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Lek</w:t>
            </w:r>
            <w:r w:rsidR="00A862A6" w:rsidRPr="00E21881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E21881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można</w:t>
            </w:r>
            <w:r w:rsidR="00A862A6" w:rsidRPr="00E21881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E21881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stosować</w:t>
            </w:r>
            <w:r w:rsidR="00A862A6" w:rsidRPr="00E21881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E21881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z</w:t>
            </w:r>
            <w:r w:rsidR="00A862A6" w:rsidRPr="00E21881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E21881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pokarmem</w:t>
            </w:r>
            <w:r w:rsidR="00A862A6" w:rsidRPr="00E21881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E21881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lub</w:t>
            </w:r>
            <w:r w:rsidR="00A862A6" w:rsidRPr="00E21881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E21881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bez</w:t>
            </w:r>
            <w:r w:rsidR="00A862A6" w:rsidRPr="00E21881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="00F53DA3" w:rsidRPr="00E21881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pokarmu.</w:t>
            </w:r>
          </w:p>
          <w:p w14:paraId="18F1E9C6" w14:textId="153867F8" w:rsidR="007F72A0" w:rsidRPr="00E21881" w:rsidRDefault="007D36CB" w:rsidP="007124FD">
            <w:pPr>
              <w:pStyle w:val="Default"/>
              <w:numPr>
                <w:ilvl w:val="3"/>
                <w:numId w:val="3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E21881">
              <w:rPr>
                <w:rFonts w:eastAsia="SimSun"/>
                <w:b/>
                <w:bCs/>
                <w:sz w:val="20"/>
                <w:szCs w:val="20"/>
                <w:lang w:eastAsia="zh-CN"/>
              </w:rPr>
              <w:t>d</w:t>
            </w:r>
            <w:r w:rsidR="00961AC7" w:rsidRPr="00E21881">
              <w:rPr>
                <w:rFonts w:eastAsia="SimSun"/>
                <w:b/>
                <w:bCs/>
                <w:sz w:val="20"/>
                <w:szCs w:val="20"/>
                <w:lang w:eastAsia="zh-CN"/>
              </w:rPr>
              <w:t>arolutamid</w:t>
            </w:r>
            <w:proofErr w:type="spellEnd"/>
            <w:r w:rsidR="00961AC7" w:rsidRPr="00E21881">
              <w:rPr>
                <w:rFonts w:eastAsia="SimSun"/>
                <w:b/>
                <w:bCs/>
                <w:sz w:val="20"/>
                <w:szCs w:val="20"/>
                <w:lang w:eastAsia="zh-CN"/>
              </w:rPr>
              <w:t>:</w:t>
            </w:r>
            <w:r w:rsidR="00303C40" w:rsidRPr="00E21881">
              <w:rPr>
                <w:rFonts w:eastAsia="SimSun"/>
                <w:b/>
                <w:bCs/>
                <w:sz w:val="20"/>
                <w:szCs w:val="20"/>
                <w:lang w:eastAsia="zh-CN"/>
              </w:rPr>
              <w:t xml:space="preserve"> </w:t>
            </w:r>
            <w:r w:rsidR="00C74732" w:rsidRPr="00E21881">
              <w:rPr>
                <w:rFonts w:eastAsia="SimSun"/>
                <w:sz w:val="20"/>
                <w:szCs w:val="20"/>
                <w:lang w:eastAsia="zh-CN"/>
              </w:rPr>
              <w:t>z</w:t>
            </w:r>
            <w:r w:rsidR="00961AC7" w:rsidRPr="00E21881">
              <w:rPr>
                <w:rFonts w:eastAsia="SimSun"/>
                <w:sz w:val="20"/>
                <w:szCs w:val="20"/>
                <w:lang w:eastAsia="zh-CN"/>
              </w:rPr>
              <w:t>alecana</w:t>
            </w:r>
            <w:r w:rsidR="00A862A6" w:rsidRPr="00E21881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E21881">
              <w:rPr>
                <w:rFonts w:eastAsia="SimSun"/>
                <w:spacing w:val="-1"/>
                <w:sz w:val="20"/>
                <w:szCs w:val="20"/>
                <w:lang w:eastAsia="zh-CN"/>
              </w:rPr>
              <w:t>dawka</w:t>
            </w:r>
            <w:r w:rsidR="00A862A6" w:rsidRPr="00E21881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6C666C" w:rsidRPr="00E21881">
              <w:rPr>
                <w:rFonts w:eastAsia="SimSun"/>
                <w:spacing w:val="-1"/>
                <w:sz w:val="20"/>
                <w:szCs w:val="20"/>
                <w:lang w:eastAsia="zh-CN"/>
              </w:rPr>
              <w:t>wynosi</w:t>
            </w:r>
            <w:r w:rsidR="00A862A6" w:rsidRPr="00E21881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E21881">
              <w:rPr>
                <w:rFonts w:eastAsia="SimSun"/>
                <w:spacing w:val="-1"/>
                <w:sz w:val="20"/>
                <w:szCs w:val="20"/>
                <w:lang w:eastAsia="zh-CN"/>
              </w:rPr>
              <w:t>600</w:t>
            </w:r>
            <w:r w:rsidR="00A862A6" w:rsidRPr="00E21881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E21881">
              <w:rPr>
                <w:rFonts w:eastAsia="SimSun"/>
                <w:spacing w:val="-1"/>
                <w:sz w:val="20"/>
                <w:szCs w:val="20"/>
                <w:lang w:eastAsia="zh-CN"/>
              </w:rPr>
              <w:t>mg</w:t>
            </w:r>
            <w:r w:rsidR="00A862A6" w:rsidRPr="00E21881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E21881">
              <w:rPr>
                <w:rFonts w:eastAsia="SimSun"/>
                <w:spacing w:val="-1"/>
                <w:sz w:val="20"/>
                <w:szCs w:val="20"/>
                <w:lang w:eastAsia="zh-CN"/>
              </w:rPr>
              <w:t>(dwie</w:t>
            </w:r>
            <w:r w:rsidR="00A862A6" w:rsidRPr="00E21881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E21881">
              <w:rPr>
                <w:rFonts w:eastAsia="SimSun"/>
                <w:spacing w:val="-1"/>
                <w:sz w:val="20"/>
                <w:szCs w:val="20"/>
                <w:lang w:eastAsia="zh-CN"/>
              </w:rPr>
              <w:t>tabletki</w:t>
            </w:r>
            <w:r w:rsidR="00A862A6" w:rsidRPr="00E21881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E21881">
              <w:rPr>
                <w:rFonts w:eastAsia="SimSun"/>
                <w:spacing w:val="-1"/>
                <w:sz w:val="20"/>
                <w:szCs w:val="20"/>
                <w:lang w:eastAsia="zh-CN"/>
              </w:rPr>
              <w:t>po</w:t>
            </w:r>
            <w:r w:rsidR="00A862A6" w:rsidRPr="00E21881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E21881">
              <w:rPr>
                <w:rFonts w:eastAsia="SimSun"/>
                <w:spacing w:val="-1"/>
                <w:sz w:val="20"/>
                <w:szCs w:val="20"/>
                <w:lang w:eastAsia="zh-CN"/>
              </w:rPr>
              <w:t>300</w:t>
            </w:r>
            <w:r w:rsidR="00A862A6" w:rsidRPr="00E21881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E21881">
              <w:rPr>
                <w:rFonts w:eastAsia="SimSun"/>
                <w:spacing w:val="-1"/>
                <w:sz w:val="20"/>
                <w:szCs w:val="20"/>
                <w:lang w:eastAsia="zh-CN"/>
              </w:rPr>
              <w:t>mg)</w:t>
            </w:r>
            <w:r w:rsidR="00A862A6" w:rsidRPr="00E21881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E21881">
              <w:rPr>
                <w:rFonts w:eastAsia="SimSun"/>
                <w:spacing w:val="-1"/>
                <w:sz w:val="20"/>
                <w:szCs w:val="20"/>
                <w:lang w:eastAsia="zh-CN"/>
              </w:rPr>
              <w:t>przyjmowane</w:t>
            </w:r>
            <w:r w:rsidR="00A862A6" w:rsidRPr="00E21881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E21881">
              <w:rPr>
                <w:rFonts w:eastAsia="SimSun"/>
                <w:spacing w:val="-1"/>
                <w:sz w:val="20"/>
                <w:szCs w:val="20"/>
                <w:lang w:eastAsia="zh-CN"/>
              </w:rPr>
              <w:t>dwa</w:t>
            </w:r>
            <w:r w:rsidR="00A862A6" w:rsidRPr="00E21881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E21881">
              <w:rPr>
                <w:rFonts w:eastAsia="SimSun"/>
                <w:spacing w:val="-1"/>
                <w:sz w:val="20"/>
                <w:szCs w:val="20"/>
                <w:lang w:eastAsia="zh-CN"/>
              </w:rPr>
              <w:t>razy</w:t>
            </w:r>
            <w:r w:rsidR="00A862A6" w:rsidRPr="00E21881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E21881">
              <w:rPr>
                <w:rFonts w:eastAsia="SimSun"/>
                <w:spacing w:val="-1"/>
                <w:sz w:val="20"/>
                <w:szCs w:val="20"/>
                <w:lang w:eastAsia="zh-CN"/>
              </w:rPr>
              <w:t>na</w:t>
            </w:r>
            <w:r w:rsidR="00A862A6" w:rsidRPr="00E21881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E21881">
              <w:rPr>
                <w:rFonts w:eastAsia="SimSun"/>
                <w:spacing w:val="-1"/>
                <w:sz w:val="20"/>
                <w:szCs w:val="20"/>
                <w:lang w:eastAsia="zh-CN"/>
              </w:rPr>
              <w:t>dobę,</w:t>
            </w:r>
            <w:r w:rsidR="00A862A6" w:rsidRPr="00E21881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E21881">
              <w:rPr>
                <w:rFonts w:eastAsia="SimSun"/>
                <w:spacing w:val="-1"/>
                <w:sz w:val="20"/>
                <w:szCs w:val="20"/>
                <w:lang w:eastAsia="zh-CN"/>
              </w:rPr>
              <w:t>co</w:t>
            </w:r>
            <w:r w:rsidR="00A862A6" w:rsidRPr="00E21881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E21881">
              <w:rPr>
                <w:rFonts w:eastAsia="SimSun"/>
                <w:spacing w:val="-1"/>
                <w:sz w:val="20"/>
                <w:szCs w:val="20"/>
                <w:lang w:eastAsia="zh-CN"/>
              </w:rPr>
              <w:t>stanowi</w:t>
            </w:r>
            <w:r w:rsidR="00A862A6" w:rsidRPr="00E21881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E21881">
              <w:rPr>
                <w:rFonts w:eastAsia="SimSun"/>
                <w:spacing w:val="-1"/>
                <w:sz w:val="20"/>
                <w:szCs w:val="20"/>
                <w:lang w:eastAsia="zh-CN"/>
              </w:rPr>
              <w:t>równoważność</w:t>
            </w:r>
            <w:r w:rsidR="00A862A6" w:rsidRPr="00E21881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E21881">
              <w:rPr>
                <w:rFonts w:eastAsia="SimSun"/>
                <w:spacing w:val="-1"/>
                <w:sz w:val="20"/>
                <w:szCs w:val="20"/>
                <w:lang w:eastAsia="zh-CN"/>
              </w:rPr>
              <w:t>całkowitej</w:t>
            </w:r>
            <w:r w:rsidR="00A862A6" w:rsidRPr="00E21881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E21881">
              <w:rPr>
                <w:rFonts w:eastAsia="SimSun"/>
                <w:spacing w:val="-1"/>
                <w:sz w:val="20"/>
                <w:szCs w:val="20"/>
                <w:lang w:eastAsia="zh-CN"/>
              </w:rPr>
              <w:t>dawki</w:t>
            </w:r>
            <w:r w:rsidR="00A862A6" w:rsidRPr="00E21881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E21881">
              <w:rPr>
                <w:rFonts w:eastAsia="SimSun"/>
                <w:spacing w:val="-1"/>
                <w:sz w:val="20"/>
                <w:szCs w:val="20"/>
                <w:lang w:eastAsia="zh-CN"/>
              </w:rPr>
              <w:t>dobowej</w:t>
            </w:r>
            <w:r w:rsidR="00A862A6" w:rsidRPr="00E21881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E21881">
              <w:rPr>
                <w:rFonts w:eastAsia="SimSun"/>
                <w:spacing w:val="-1"/>
                <w:sz w:val="20"/>
                <w:szCs w:val="20"/>
                <w:lang w:eastAsia="zh-CN"/>
              </w:rPr>
              <w:t>wynoszącej</w:t>
            </w:r>
            <w:r w:rsidR="00A862A6" w:rsidRPr="00E21881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E21881">
              <w:rPr>
                <w:rFonts w:eastAsia="SimSun"/>
                <w:spacing w:val="-1"/>
                <w:sz w:val="20"/>
                <w:szCs w:val="20"/>
                <w:lang w:eastAsia="zh-CN"/>
              </w:rPr>
              <w:t>1200</w:t>
            </w:r>
            <w:r w:rsidR="00A862A6" w:rsidRPr="00E21881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61AC7" w:rsidRPr="00E21881">
              <w:rPr>
                <w:rFonts w:eastAsia="SimSun"/>
                <w:spacing w:val="-1"/>
                <w:sz w:val="20"/>
                <w:szCs w:val="20"/>
                <w:lang w:eastAsia="zh-CN"/>
              </w:rPr>
              <w:t>mg.</w:t>
            </w:r>
            <w:r w:rsidR="00A862A6" w:rsidRPr="00E21881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91DB7" w:rsidRPr="00E21881">
              <w:rPr>
                <w:sz w:val="20"/>
                <w:szCs w:val="20"/>
              </w:rPr>
              <w:t>Lek</w:t>
            </w:r>
            <w:r w:rsidR="00A862A6" w:rsidRPr="00E21881">
              <w:rPr>
                <w:sz w:val="20"/>
                <w:szCs w:val="20"/>
              </w:rPr>
              <w:t xml:space="preserve"> </w:t>
            </w:r>
            <w:r w:rsidR="00991DB7" w:rsidRPr="00E21881">
              <w:rPr>
                <w:sz w:val="20"/>
                <w:szCs w:val="20"/>
              </w:rPr>
              <w:t>należy</w:t>
            </w:r>
            <w:r w:rsidR="00A862A6" w:rsidRPr="00E21881">
              <w:rPr>
                <w:sz w:val="20"/>
                <w:szCs w:val="20"/>
              </w:rPr>
              <w:t xml:space="preserve"> </w:t>
            </w:r>
            <w:r w:rsidR="00991DB7" w:rsidRPr="00E21881">
              <w:rPr>
                <w:sz w:val="20"/>
                <w:szCs w:val="20"/>
              </w:rPr>
              <w:t>połykać</w:t>
            </w:r>
            <w:r w:rsidR="00A862A6" w:rsidRPr="00E21881">
              <w:rPr>
                <w:sz w:val="20"/>
                <w:szCs w:val="20"/>
              </w:rPr>
              <w:t xml:space="preserve"> </w:t>
            </w:r>
            <w:r w:rsidR="00991DB7" w:rsidRPr="00E21881">
              <w:rPr>
                <w:sz w:val="20"/>
                <w:szCs w:val="20"/>
              </w:rPr>
              <w:t>w</w:t>
            </w:r>
            <w:r w:rsidR="00A862A6" w:rsidRPr="00E21881">
              <w:rPr>
                <w:sz w:val="20"/>
                <w:szCs w:val="20"/>
              </w:rPr>
              <w:t xml:space="preserve"> </w:t>
            </w:r>
            <w:r w:rsidR="00991DB7" w:rsidRPr="00E21881">
              <w:rPr>
                <w:sz w:val="20"/>
                <w:szCs w:val="20"/>
              </w:rPr>
              <w:t>całości</w:t>
            </w:r>
            <w:r w:rsidR="00A862A6" w:rsidRPr="00E21881">
              <w:rPr>
                <w:sz w:val="20"/>
                <w:szCs w:val="20"/>
              </w:rPr>
              <w:t xml:space="preserve"> </w:t>
            </w:r>
            <w:r w:rsidR="00991DB7" w:rsidRPr="00E21881">
              <w:rPr>
                <w:sz w:val="20"/>
                <w:szCs w:val="20"/>
              </w:rPr>
              <w:t>z</w:t>
            </w:r>
            <w:r w:rsidR="00A862A6" w:rsidRPr="00E21881">
              <w:rPr>
                <w:sz w:val="20"/>
                <w:szCs w:val="20"/>
              </w:rPr>
              <w:t xml:space="preserve"> </w:t>
            </w:r>
            <w:r w:rsidR="00991DB7" w:rsidRPr="00E21881">
              <w:rPr>
                <w:sz w:val="20"/>
                <w:szCs w:val="20"/>
              </w:rPr>
              <w:t>pokarmem.</w:t>
            </w:r>
          </w:p>
          <w:p w14:paraId="0CB20A48" w14:textId="4437ECE2" w:rsidR="00E94001" w:rsidRPr="00E21881" w:rsidRDefault="007124FD" w:rsidP="00477A99">
            <w:pPr>
              <w:pStyle w:val="Default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 w:rsidRPr="00E21881">
              <w:rPr>
                <w:sz w:val="20"/>
                <w:szCs w:val="20"/>
              </w:rPr>
              <w:t xml:space="preserve">U pacjentów z </w:t>
            </w:r>
            <w:proofErr w:type="spellStart"/>
            <w:r w:rsidR="00E94001" w:rsidRPr="00E21881">
              <w:rPr>
                <w:sz w:val="20"/>
                <w:szCs w:val="20"/>
              </w:rPr>
              <w:t>mHSPC</w:t>
            </w:r>
            <w:proofErr w:type="spellEnd"/>
            <w:r w:rsidR="00E94001" w:rsidRPr="00E21881">
              <w:rPr>
                <w:sz w:val="20"/>
                <w:szCs w:val="20"/>
              </w:rPr>
              <w:t xml:space="preserve"> leczenie </w:t>
            </w:r>
            <w:proofErr w:type="spellStart"/>
            <w:r w:rsidR="00E94001" w:rsidRPr="00E21881">
              <w:rPr>
                <w:sz w:val="20"/>
                <w:szCs w:val="20"/>
              </w:rPr>
              <w:t>darolutamidem</w:t>
            </w:r>
            <w:proofErr w:type="spellEnd"/>
            <w:r w:rsidR="00E94001" w:rsidRPr="00E21881">
              <w:rPr>
                <w:sz w:val="20"/>
                <w:szCs w:val="20"/>
              </w:rPr>
              <w:t xml:space="preserve"> </w:t>
            </w:r>
            <w:r w:rsidR="00BA2B13" w:rsidRPr="00E21881">
              <w:rPr>
                <w:sz w:val="20"/>
                <w:szCs w:val="20"/>
              </w:rPr>
              <w:t xml:space="preserve">należy rozpocząć w skojarzeniu z </w:t>
            </w:r>
            <w:proofErr w:type="spellStart"/>
            <w:r w:rsidR="00BA2B13" w:rsidRPr="00E21881">
              <w:rPr>
                <w:sz w:val="20"/>
                <w:szCs w:val="20"/>
              </w:rPr>
              <w:t>docetakselem</w:t>
            </w:r>
            <w:proofErr w:type="spellEnd"/>
            <w:r w:rsidR="00BA2B13" w:rsidRPr="00E21881">
              <w:rPr>
                <w:sz w:val="20"/>
                <w:szCs w:val="20"/>
              </w:rPr>
              <w:t xml:space="preserve">.  Pierwszy z 6 cykli </w:t>
            </w:r>
            <w:proofErr w:type="spellStart"/>
            <w:r w:rsidR="00BA2B13" w:rsidRPr="00E21881">
              <w:rPr>
                <w:sz w:val="20"/>
                <w:szCs w:val="20"/>
              </w:rPr>
              <w:t>docetakselu</w:t>
            </w:r>
            <w:proofErr w:type="spellEnd"/>
            <w:r w:rsidR="00BA2B13" w:rsidRPr="00E21881">
              <w:rPr>
                <w:sz w:val="20"/>
                <w:szCs w:val="20"/>
              </w:rPr>
              <w:t xml:space="preserve"> należy podać w ciągu 6 tygodni od rozpoczęcia</w:t>
            </w:r>
            <w:r w:rsidR="00477A99" w:rsidRPr="00E21881">
              <w:rPr>
                <w:sz w:val="20"/>
                <w:szCs w:val="20"/>
              </w:rPr>
              <w:t xml:space="preserve"> </w:t>
            </w:r>
            <w:r w:rsidR="00BA2B13" w:rsidRPr="00E21881">
              <w:rPr>
                <w:sz w:val="20"/>
                <w:szCs w:val="20"/>
              </w:rPr>
              <w:t xml:space="preserve">leczenia </w:t>
            </w:r>
            <w:proofErr w:type="spellStart"/>
            <w:r w:rsidR="00BA2B13" w:rsidRPr="00E21881">
              <w:rPr>
                <w:sz w:val="20"/>
                <w:szCs w:val="20"/>
              </w:rPr>
              <w:t>darolutamidem</w:t>
            </w:r>
            <w:proofErr w:type="spellEnd"/>
            <w:r w:rsidR="00477A99" w:rsidRPr="00E21881">
              <w:rPr>
                <w:sz w:val="20"/>
                <w:szCs w:val="20"/>
              </w:rPr>
              <w:t xml:space="preserve">. Leczenie </w:t>
            </w:r>
            <w:proofErr w:type="spellStart"/>
            <w:r w:rsidR="00477A99" w:rsidRPr="00E21881">
              <w:rPr>
                <w:sz w:val="20"/>
                <w:szCs w:val="20"/>
              </w:rPr>
              <w:t>mHSPC</w:t>
            </w:r>
            <w:proofErr w:type="spellEnd"/>
            <w:r w:rsidR="00477A99" w:rsidRPr="00E21881">
              <w:rPr>
                <w:sz w:val="20"/>
                <w:szCs w:val="20"/>
              </w:rPr>
              <w:t xml:space="preserve"> należy </w:t>
            </w:r>
            <w:r w:rsidR="00E94001" w:rsidRPr="00E21881">
              <w:rPr>
                <w:sz w:val="20"/>
                <w:szCs w:val="20"/>
              </w:rPr>
              <w:t>kontynuować do czasu progresji choroby lub wystąpienia niemożliwej do zaakceptowania toksyczności, nawet jeśli</w:t>
            </w:r>
            <w:r w:rsidR="00477A99" w:rsidRPr="00E21881">
              <w:rPr>
                <w:sz w:val="20"/>
                <w:szCs w:val="20"/>
              </w:rPr>
              <w:t xml:space="preserve"> </w:t>
            </w:r>
            <w:r w:rsidR="00B23D65" w:rsidRPr="00E21881">
              <w:rPr>
                <w:sz w:val="20"/>
                <w:szCs w:val="20"/>
              </w:rPr>
              <w:t>podanie kolejnego kursu</w:t>
            </w:r>
            <w:r w:rsidR="00E94001" w:rsidRPr="00E21881">
              <w:rPr>
                <w:sz w:val="20"/>
                <w:szCs w:val="20"/>
              </w:rPr>
              <w:t xml:space="preserve"> </w:t>
            </w:r>
            <w:proofErr w:type="spellStart"/>
            <w:r w:rsidR="00E94001" w:rsidRPr="00E21881">
              <w:rPr>
                <w:sz w:val="20"/>
                <w:szCs w:val="20"/>
              </w:rPr>
              <w:t>docetakselu</w:t>
            </w:r>
            <w:proofErr w:type="spellEnd"/>
            <w:r w:rsidR="00E94001" w:rsidRPr="00E21881">
              <w:rPr>
                <w:sz w:val="20"/>
                <w:szCs w:val="20"/>
              </w:rPr>
              <w:t xml:space="preserve"> jest </w:t>
            </w:r>
            <w:r w:rsidR="00E94001" w:rsidRPr="00E21881">
              <w:rPr>
                <w:sz w:val="20"/>
                <w:szCs w:val="20"/>
              </w:rPr>
              <w:lastRenderedPageBreak/>
              <w:t>opóźnion</w:t>
            </w:r>
            <w:r w:rsidR="00B23D65" w:rsidRPr="00E21881">
              <w:rPr>
                <w:sz w:val="20"/>
                <w:szCs w:val="20"/>
              </w:rPr>
              <w:t xml:space="preserve">e lub leczenie </w:t>
            </w:r>
            <w:proofErr w:type="spellStart"/>
            <w:r w:rsidR="00B23D65" w:rsidRPr="00E21881">
              <w:rPr>
                <w:sz w:val="20"/>
                <w:szCs w:val="20"/>
              </w:rPr>
              <w:t>docetakselem</w:t>
            </w:r>
            <w:proofErr w:type="spellEnd"/>
            <w:r w:rsidR="00B23D65" w:rsidRPr="00E21881">
              <w:rPr>
                <w:sz w:val="20"/>
                <w:szCs w:val="20"/>
              </w:rPr>
              <w:t xml:space="preserve"> </w:t>
            </w:r>
            <w:proofErr w:type="spellStart"/>
            <w:r w:rsidR="00B23D65" w:rsidRPr="00E21881">
              <w:rPr>
                <w:sz w:val="20"/>
                <w:szCs w:val="20"/>
              </w:rPr>
              <w:t>przedwczesnie</w:t>
            </w:r>
            <w:proofErr w:type="spellEnd"/>
            <w:r w:rsidR="00B23D65" w:rsidRPr="00E21881">
              <w:rPr>
                <w:sz w:val="20"/>
                <w:szCs w:val="20"/>
              </w:rPr>
              <w:t xml:space="preserve"> zakończono.</w:t>
            </w:r>
            <w:r w:rsidR="00E94001" w:rsidRPr="00E21881">
              <w:rPr>
                <w:sz w:val="20"/>
                <w:szCs w:val="20"/>
              </w:rPr>
              <w:t xml:space="preserve"> </w:t>
            </w:r>
          </w:p>
          <w:p w14:paraId="1C56CEB5" w14:textId="05B8E3A8" w:rsidR="00447C42" w:rsidRPr="00E21881" w:rsidRDefault="007D36CB" w:rsidP="00303C40">
            <w:pPr>
              <w:pStyle w:val="Akapitzlist"/>
              <w:widowControl w:val="0"/>
              <w:numPr>
                <w:ilvl w:val="3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1881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e</w:t>
            </w:r>
            <w:r w:rsidR="00961AC7" w:rsidRPr="00E21881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nzalutamid</w:t>
            </w:r>
            <w:proofErr w:type="spellEnd"/>
            <w:r w:rsidR="00BF356A" w:rsidRPr="00E21881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:</w:t>
            </w:r>
            <w:r w:rsidR="00303C40" w:rsidRPr="00E21881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="00C74732" w:rsidRPr="00E21881">
              <w:rPr>
                <w:rFonts w:ascii="Times New Roman" w:eastAsia="Times New Roman" w:hAnsi="Times New Roman" w:cs="Times New Roman"/>
                <w:sz w:val="20"/>
                <w:szCs w:val="20"/>
              </w:rPr>
              <w:t>z</w:t>
            </w:r>
            <w:r w:rsidR="00961AC7" w:rsidRPr="00E21881">
              <w:rPr>
                <w:rFonts w:ascii="Times New Roman" w:eastAsia="Times New Roman" w:hAnsi="Times New Roman" w:cs="Times New Roman"/>
                <w:sz w:val="20"/>
                <w:szCs w:val="20"/>
              </w:rPr>
              <w:t>alecana</w:t>
            </w:r>
            <w:r w:rsidR="00A862A6" w:rsidRPr="00E218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61AC7" w:rsidRPr="00E21881">
              <w:rPr>
                <w:rFonts w:ascii="Times New Roman" w:eastAsia="Times New Roman" w:hAnsi="Times New Roman" w:cs="Times New Roman"/>
                <w:sz w:val="20"/>
                <w:szCs w:val="20"/>
              </w:rPr>
              <w:t>dawka</w:t>
            </w:r>
            <w:r w:rsidR="00A862A6" w:rsidRPr="00E218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6C666C" w:rsidRPr="00E21881">
              <w:rPr>
                <w:rFonts w:ascii="Times New Roman" w:eastAsia="Times New Roman" w:hAnsi="Times New Roman" w:cs="Times New Roman"/>
                <w:sz w:val="20"/>
                <w:szCs w:val="20"/>
              </w:rPr>
              <w:t>wynosi</w:t>
            </w:r>
            <w:r w:rsidR="00A862A6" w:rsidRPr="00E218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61AC7" w:rsidRPr="00E21881">
              <w:rPr>
                <w:rFonts w:ascii="Times New Roman" w:eastAsia="Times New Roman" w:hAnsi="Times New Roman" w:cs="Times New Roman"/>
                <w:sz w:val="20"/>
                <w:szCs w:val="20"/>
              </w:rPr>
              <w:t>160</w:t>
            </w:r>
            <w:r w:rsidR="00A862A6" w:rsidRPr="00E218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61AC7" w:rsidRPr="00E21881">
              <w:rPr>
                <w:rFonts w:ascii="Times New Roman" w:eastAsia="Times New Roman" w:hAnsi="Times New Roman" w:cs="Times New Roman"/>
                <w:sz w:val="20"/>
                <w:szCs w:val="20"/>
              </w:rPr>
              <w:t>mg</w:t>
            </w:r>
            <w:r w:rsidR="00A862A6" w:rsidRPr="00E218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61AC7" w:rsidRPr="00E21881">
              <w:rPr>
                <w:rFonts w:ascii="Times New Roman" w:eastAsia="Times New Roman" w:hAnsi="Times New Roman" w:cs="Times New Roman"/>
                <w:sz w:val="20"/>
                <w:szCs w:val="20"/>
              </w:rPr>
              <w:t>(cztery</w:t>
            </w:r>
            <w:r w:rsidR="00A862A6" w:rsidRPr="00E218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61AC7" w:rsidRPr="00E21881">
              <w:rPr>
                <w:rFonts w:ascii="Times New Roman" w:eastAsia="Times New Roman" w:hAnsi="Times New Roman" w:cs="Times New Roman"/>
                <w:sz w:val="20"/>
                <w:szCs w:val="20"/>
              </w:rPr>
              <w:t>tabletki</w:t>
            </w:r>
            <w:r w:rsidR="00A862A6" w:rsidRPr="00E218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61AC7" w:rsidRPr="00E21881">
              <w:rPr>
                <w:rFonts w:ascii="Times New Roman" w:eastAsia="Times New Roman" w:hAnsi="Times New Roman" w:cs="Times New Roman"/>
                <w:sz w:val="20"/>
                <w:szCs w:val="20"/>
              </w:rPr>
              <w:t>po</w:t>
            </w:r>
            <w:r w:rsidR="00A862A6" w:rsidRPr="00E218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61AC7" w:rsidRPr="00E21881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  <w:r w:rsidR="00A862A6" w:rsidRPr="00E218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61AC7" w:rsidRPr="00E21881">
              <w:rPr>
                <w:rFonts w:ascii="Times New Roman" w:eastAsia="Times New Roman" w:hAnsi="Times New Roman" w:cs="Times New Roman"/>
                <w:sz w:val="20"/>
                <w:szCs w:val="20"/>
              </w:rPr>
              <w:t>mg)</w:t>
            </w:r>
            <w:r w:rsidR="00A862A6" w:rsidRPr="00E218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61AC7" w:rsidRPr="00E21881">
              <w:rPr>
                <w:rFonts w:ascii="Times New Roman" w:eastAsia="Times New Roman" w:hAnsi="Times New Roman" w:cs="Times New Roman"/>
                <w:sz w:val="20"/>
                <w:szCs w:val="20"/>
              </w:rPr>
              <w:t>w</w:t>
            </w:r>
            <w:r w:rsidR="00A862A6" w:rsidRPr="00E218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61AC7" w:rsidRPr="00E21881">
              <w:rPr>
                <w:rFonts w:ascii="Times New Roman" w:eastAsia="Times New Roman" w:hAnsi="Times New Roman" w:cs="Times New Roman"/>
                <w:sz w:val="20"/>
                <w:szCs w:val="20"/>
              </w:rPr>
              <w:t>jednorazowej</w:t>
            </w:r>
            <w:r w:rsidR="00A862A6" w:rsidRPr="00E218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61AC7" w:rsidRPr="00E21881">
              <w:rPr>
                <w:rFonts w:ascii="Times New Roman" w:eastAsia="Times New Roman" w:hAnsi="Times New Roman" w:cs="Times New Roman"/>
                <w:sz w:val="20"/>
                <w:szCs w:val="20"/>
              </w:rPr>
              <w:t>dawce</w:t>
            </w:r>
            <w:r w:rsidR="00A862A6" w:rsidRPr="00E218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61AC7" w:rsidRPr="00E21881">
              <w:rPr>
                <w:rFonts w:ascii="Times New Roman" w:eastAsia="Times New Roman" w:hAnsi="Times New Roman" w:cs="Times New Roman"/>
                <w:sz w:val="20"/>
                <w:szCs w:val="20"/>
              </w:rPr>
              <w:t>dobowej.</w:t>
            </w:r>
            <w:r w:rsidR="00A862A6" w:rsidRPr="00E218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AA1E28" w:rsidRPr="00E21881">
              <w:rPr>
                <w:rFonts w:ascii="Times New Roman" w:hAnsi="Times New Roman" w:cs="Times New Roman"/>
                <w:sz w:val="20"/>
                <w:szCs w:val="20"/>
              </w:rPr>
              <w:t>Lek</w:t>
            </w:r>
            <w:r w:rsidR="00A862A6" w:rsidRPr="00E218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1E28" w:rsidRPr="00E21881">
              <w:rPr>
                <w:rFonts w:ascii="Times New Roman" w:hAnsi="Times New Roman" w:cs="Times New Roman"/>
                <w:sz w:val="20"/>
                <w:szCs w:val="20"/>
              </w:rPr>
              <w:t>można</w:t>
            </w:r>
            <w:r w:rsidR="00A862A6" w:rsidRPr="00E218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1E28" w:rsidRPr="00E21881">
              <w:rPr>
                <w:rFonts w:ascii="Times New Roman" w:hAnsi="Times New Roman" w:cs="Times New Roman"/>
                <w:sz w:val="20"/>
                <w:szCs w:val="20"/>
              </w:rPr>
              <w:t>stosować</w:t>
            </w:r>
            <w:r w:rsidR="00A862A6" w:rsidRPr="00E218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1E28" w:rsidRPr="00E2188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862A6" w:rsidRPr="00E218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1E28" w:rsidRPr="00E21881">
              <w:rPr>
                <w:rFonts w:ascii="Times New Roman" w:hAnsi="Times New Roman" w:cs="Times New Roman"/>
                <w:sz w:val="20"/>
                <w:szCs w:val="20"/>
              </w:rPr>
              <w:t>pokarmem</w:t>
            </w:r>
            <w:r w:rsidR="00A862A6" w:rsidRPr="00E218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1E28" w:rsidRPr="00E2188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862A6" w:rsidRPr="00E218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1E28" w:rsidRPr="00E21881">
              <w:rPr>
                <w:rFonts w:ascii="Times New Roman" w:hAnsi="Times New Roman" w:cs="Times New Roman"/>
                <w:sz w:val="20"/>
                <w:szCs w:val="20"/>
              </w:rPr>
              <w:t>bez</w:t>
            </w:r>
            <w:r w:rsidR="00A862A6" w:rsidRPr="00E218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1E28" w:rsidRPr="00E21881">
              <w:rPr>
                <w:rFonts w:ascii="Times New Roman" w:hAnsi="Times New Roman" w:cs="Times New Roman"/>
                <w:sz w:val="20"/>
                <w:szCs w:val="20"/>
              </w:rPr>
              <w:t>pokarmu.</w:t>
            </w:r>
          </w:p>
          <w:p w14:paraId="6862CBF5" w14:textId="12D6E8B8" w:rsidR="00FC0975" w:rsidRPr="00E21881" w:rsidRDefault="00FC0975" w:rsidP="00303C40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Leków hormonalnych nowej generacji </w:t>
            </w:r>
            <w:r w:rsidRPr="00E21881">
              <w:rPr>
                <w:rFonts w:ascii="Times New Roman" w:hAnsi="Times New Roman" w:cs="Times New Roman"/>
                <w:sz w:val="20"/>
                <w:szCs w:val="20"/>
              </w:rPr>
              <w:t xml:space="preserve">nie należy stosować </w:t>
            </w:r>
            <w:r w:rsidR="00B23D65" w:rsidRPr="00E21881">
              <w:rPr>
                <w:rFonts w:ascii="Times New Roman" w:hAnsi="Times New Roman" w:cs="Times New Roman"/>
                <w:sz w:val="20"/>
                <w:szCs w:val="20"/>
              </w:rPr>
              <w:t>równocześnie</w:t>
            </w:r>
            <w:r w:rsidRPr="00E21881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proofErr w:type="spellStart"/>
            <w:r w:rsidRPr="00E21881">
              <w:rPr>
                <w:rFonts w:ascii="Times New Roman" w:hAnsi="Times New Roman" w:cs="Times New Roman"/>
                <w:sz w:val="20"/>
                <w:szCs w:val="20"/>
              </w:rPr>
              <w:t>docetakselem</w:t>
            </w:r>
            <w:proofErr w:type="spellEnd"/>
            <w:r w:rsidR="00E94001" w:rsidRPr="00E218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4001" w:rsidRPr="00E21881">
              <w:rPr>
                <w:rFonts w:ascii="Times New Roman" w:hAnsi="Times New Roman"/>
                <w:sz w:val="20"/>
                <w:szCs w:val="20"/>
              </w:rPr>
              <w:t xml:space="preserve">(za wyjątkiem </w:t>
            </w:r>
            <w:proofErr w:type="spellStart"/>
            <w:r w:rsidR="00E94001" w:rsidRPr="00E21881">
              <w:rPr>
                <w:rFonts w:ascii="Times New Roman" w:hAnsi="Times New Roman"/>
                <w:sz w:val="20"/>
                <w:szCs w:val="20"/>
              </w:rPr>
              <w:t>darolutamidu</w:t>
            </w:r>
            <w:proofErr w:type="spellEnd"/>
            <w:r w:rsidR="00E94001" w:rsidRPr="00E21881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proofErr w:type="spellStart"/>
            <w:r w:rsidR="00E94001" w:rsidRPr="00E21881">
              <w:rPr>
                <w:rFonts w:ascii="Times New Roman" w:hAnsi="Times New Roman"/>
                <w:sz w:val="20"/>
                <w:szCs w:val="20"/>
              </w:rPr>
              <w:t>mHSPC</w:t>
            </w:r>
            <w:proofErr w:type="spellEnd"/>
            <w:r w:rsidR="00E94001" w:rsidRPr="00E21881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E21881">
              <w:rPr>
                <w:rFonts w:ascii="Times New Roman" w:hAnsi="Times New Roman" w:cs="Times New Roman"/>
                <w:sz w:val="20"/>
                <w:szCs w:val="20"/>
              </w:rPr>
              <w:t>ani innymi antyandrogenami lub inhibitorami CYP17.</w:t>
            </w:r>
          </w:p>
          <w:p w14:paraId="601FFCFB" w14:textId="77777777" w:rsidR="005A6602" w:rsidRPr="00E21881" w:rsidRDefault="00FC0975" w:rsidP="005A6602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</w:pPr>
            <w:proofErr w:type="spellStart"/>
            <w:r w:rsidRPr="00E218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</w:t>
            </w:r>
            <w:r w:rsidR="001605D7" w:rsidRPr="00E218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laparyb</w:t>
            </w:r>
            <w:proofErr w:type="spellEnd"/>
            <w:r w:rsidR="001605D7" w:rsidRPr="00E218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 w:rsidR="00303C40" w:rsidRPr="00E218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C74732" w:rsidRPr="00E21881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062D8" w:rsidRPr="00E21881">
              <w:rPr>
                <w:rFonts w:ascii="Times New Roman" w:hAnsi="Times New Roman" w:cs="Times New Roman"/>
                <w:sz w:val="20"/>
                <w:szCs w:val="20"/>
              </w:rPr>
              <w:t>alecana dawka wynosi 300 mg</w:t>
            </w:r>
            <w:r w:rsidR="00303C40" w:rsidRPr="00E218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62D8" w:rsidRPr="00E21881">
              <w:rPr>
                <w:rFonts w:ascii="Times New Roman" w:hAnsi="Times New Roman" w:cs="Times New Roman"/>
                <w:sz w:val="20"/>
                <w:szCs w:val="20"/>
              </w:rPr>
              <w:t>(dwie tabletki po 150 mg) dwa razy na dobę, co odpowiada całkowitej dawce dobowej 600 mg. Lek można stosować z pokarmem lub bez pokarmu.</w:t>
            </w:r>
            <w:r w:rsidR="00AF079D" w:rsidRPr="00E21881">
              <w:rPr>
                <w:rFonts w:ascii="Times New Roman" w:hAnsi="Times New Roman" w:cs="Times New Roman"/>
                <w:sz w:val="20"/>
                <w:szCs w:val="20"/>
              </w:rPr>
              <w:t xml:space="preserve"> Lek </w:t>
            </w:r>
            <w:r w:rsidR="00C90AA6" w:rsidRPr="00E21881">
              <w:rPr>
                <w:rFonts w:ascii="Times New Roman" w:hAnsi="Times New Roman" w:cs="Times New Roman"/>
                <w:sz w:val="20"/>
                <w:szCs w:val="20"/>
              </w:rPr>
              <w:t>stosuje się</w:t>
            </w:r>
            <w:r w:rsidR="00AF079D" w:rsidRPr="00E21881">
              <w:rPr>
                <w:rFonts w:ascii="Times New Roman" w:hAnsi="Times New Roman" w:cs="Times New Roman"/>
                <w:sz w:val="20"/>
                <w:szCs w:val="20"/>
              </w:rPr>
              <w:t xml:space="preserve"> w </w:t>
            </w:r>
            <w:proofErr w:type="spellStart"/>
            <w:r w:rsidR="00AF079D" w:rsidRPr="00E21881"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  <w:proofErr w:type="spellEnd"/>
            <w:r w:rsidR="00AF079D" w:rsidRPr="00E21881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C90AA6" w:rsidRPr="00E21881">
              <w:rPr>
                <w:rFonts w:ascii="Times New Roman" w:hAnsi="Times New Roman" w:cs="Times New Roman"/>
                <w:sz w:val="20"/>
                <w:szCs w:val="20"/>
              </w:rPr>
              <w:t>za wyjątkiem</w:t>
            </w:r>
            <w:r w:rsidR="00AF079D" w:rsidRPr="00E218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0AA6" w:rsidRPr="00E21881">
              <w:rPr>
                <w:rFonts w:ascii="Times New Roman" w:hAnsi="Times New Roman" w:cs="Times New Roman"/>
                <w:sz w:val="20"/>
                <w:szCs w:val="20"/>
              </w:rPr>
              <w:t xml:space="preserve">leczenia skojarzonego z </w:t>
            </w:r>
            <w:r w:rsidR="00AF079D" w:rsidRPr="00E21881">
              <w:rPr>
                <w:rFonts w:ascii="Times New Roman" w:hAnsi="Times New Roman" w:cs="Times New Roman"/>
                <w:sz w:val="20"/>
                <w:szCs w:val="20"/>
              </w:rPr>
              <w:t>analogiem lub antagonistą LHRH).</w:t>
            </w:r>
          </w:p>
          <w:p w14:paraId="10B40CAE" w14:textId="70BA7720" w:rsidR="005A6602" w:rsidRPr="00E21881" w:rsidRDefault="005A6602" w:rsidP="00346AF8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</w:pPr>
            <w:proofErr w:type="spellStart"/>
            <w:r w:rsidRPr="00E218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Niraparyb</w:t>
            </w:r>
            <w:proofErr w:type="spellEnd"/>
            <w:r w:rsidRPr="00E218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18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+ octan </w:t>
            </w:r>
            <w:proofErr w:type="spellStart"/>
            <w:r w:rsidRPr="00E218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abirateronu</w:t>
            </w:r>
            <w:proofErr w:type="spellEnd"/>
            <w:r w:rsidRPr="00E21881">
              <w:rPr>
                <w:rFonts w:ascii="Times New Roman" w:hAnsi="Times New Roman" w:cs="Times New Roman"/>
                <w:sz w:val="20"/>
                <w:szCs w:val="20"/>
              </w:rPr>
              <w:t xml:space="preserve">: dawka początkowa obejmuje podanie raz dziennie dwóch tabletek zawierających w jednej tabletce 2 substancje czynne (1 tabletka: </w:t>
            </w:r>
            <w:proofErr w:type="spellStart"/>
            <w:r w:rsidRPr="00E21881">
              <w:rPr>
                <w:rFonts w:ascii="Times New Roman" w:hAnsi="Times New Roman" w:cs="Times New Roman"/>
                <w:sz w:val="20"/>
                <w:szCs w:val="20"/>
              </w:rPr>
              <w:t>niraparyb</w:t>
            </w:r>
            <w:proofErr w:type="spellEnd"/>
            <w:r w:rsidRPr="00E21881">
              <w:rPr>
                <w:rFonts w:ascii="Times New Roman" w:hAnsi="Times New Roman" w:cs="Times New Roman"/>
                <w:sz w:val="20"/>
                <w:szCs w:val="20"/>
              </w:rPr>
              <w:t xml:space="preserve"> 100 mg + octan </w:t>
            </w:r>
            <w:proofErr w:type="spellStart"/>
            <w:r w:rsidRPr="00E21881">
              <w:rPr>
                <w:rFonts w:ascii="Times New Roman" w:hAnsi="Times New Roman" w:cs="Times New Roman"/>
                <w:sz w:val="20"/>
                <w:szCs w:val="20"/>
              </w:rPr>
              <w:t>abirateronu</w:t>
            </w:r>
            <w:proofErr w:type="spellEnd"/>
            <w:r w:rsidRPr="00E21881">
              <w:rPr>
                <w:rFonts w:ascii="Times New Roman" w:hAnsi="Times New Roman" w:cs="Times New Roman"/>
                <w:sz w:val="20"/>
                <w:szCs w:val="20"/>
              </w:rPr>
              <w:t xml:space="preserve"> 500 mg) oraz 10 mg </w:t>
            </w:r>
            <w:proofErr w:type="spellStart"/>
            <w:r w:rsidRPr="00E21881">
              <w:rPr>
                <w:rFonts w:ascii="Times New Roman" w:hAnsi="Times New Roman" w:cs="Times New Roman"/>
                <w:sz w:val="20"/>
                <w:szCs w:val="20"/>
              </w:rPr>
              <w:t>prednizonu</w:t>
            </w:r>
            <w:proofErr w:type="spellEnd"/>
            <w:r w:rsidRPr="00E21881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21881">
              <w:rPr>
                <w:rFonts w:ascii="Times New Roman" w:hAnsi="Times New Roman" w:cs="Times New Roman"/>
                <w:sz w:val="20"/>
                <w:szCs w:val="20"/>
              </w:rPr>
              <w:t>prednizolonu</w:t>
            </w:r>
            <w:proofErr w:type="spellEnd"/>
            <w:r w:rsidRPr="00E21881">
              <w:rPr>
                <w:rFonts w:ascii="Times New Roman" w:hAnsi="Times New Roman" w:cs="Times New Roman"/>
                <w:sz w:val="20"/>
                <w:szCs w:val="20"/>
              </w:rPr>
              <w:t xml:space="preserve">. W razie konieczności możliwe jest zastosowanie tabletek o obniżonej zawartości </w:t>
            </w:r>
            <w:proofErr w:type="spellStart"/>
            <w:r w:rsidRPr="00E21881">
              <w:rPr>
                <w:rFonts w:ascii="Times New Roman" w:hAnsi="Times New Roman" w:cs="Times New Roman"/>
                <w:sz w:val="20"/>
                <w:szCs w:val="20"/>
              </w:rPr>
              <w:t>niraparybu</w:t>
            </w:r>
            <w:proofErr w:type="spellEnd"/>
            <w:r w:rsidRPr="00E21881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E21881">
              <w:rPr>
                <w:rFonts w:ascii="Times New Roman" w:hAnsi="Times New Roman" w:cs="Times New Roman"/>
                <w:sz w:val="20"/>
                <w:szCs w:val="20"/>
              </w:rPr>
              <w:t>niraparyb</w:t>
            </w:r>
            <w:proofErr w:type="spellEnd"/>
            <w:r w:rsidRPr="00E21881">
              <w:rPr>
                <w:rFonts w:ascii="Times New Roman" w:hAnsi="Times New Roman" w:cs="Times New Roman"/>
                <w:sz w:val="20"/>
                <w:szCs w:val="20"/>
              </w:rPr>
              <w:t xml:space="preserve"> 50 mg + octan </w:t>
            </w:r>
            <w:proofErr w:type="spellStart"/>
            <w:r w:rsidRPr="00E21881">
              <w:rPr>
                <w:rFonts w:ascii="Times New Roman" w:hAnsi="Times New Roman" w:cs="Times New Roman"/>
                <w:sz w:val="20"/>
                <w:szCs w:val="20"/>
              </w:rPr>
              <w:t>abirateronu</w:t>
            </w:r>
            <w:proofErr w:type="spellEnd"/>
            <w:r w:rsidRPr="00E21881">
              <w:rPr>
                <w:rFonts w:ascii="Times New Roman" w:hAnsi="Times New Roman" w:cs="Times New Roman"/>
                <w:sz w:val="20"/>
                <w:szCs w:val="20"/>
              </w:rPr>
              <w:t xml:space="preserve"> 500 mg)</w:t>
            </w:r>
            <w:r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.</w:t>
            </w:r>
          </w:p>
          <w:p w14:paraId="72309A0C" w14:textId="47C84DEE" w:rsidR="005A6602" w:rsidRPr="00E21881" w:rsidRDefault="005A6602" w:rsidP="00346AF8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1881">
              <w:rPr>
                <w:rFonts w:ascii="Times New Roman" w:hAnsi="Times New Roman" w:cs="Times New Roman"/>
                <w:sz w:val="20"/>
                <w:szCs w:val="20"/>
              </w:rPr>
              <w:t xml:space="preserve">Niedopuszczalne jest zastosowanie </w:t>
            </w:r>
            <w:proofErr w:type="spellStart"/>
            <w:r w:rsidRPr="00E21881">
              <w:rPr>
                <w:rFonts w:ascii="Times New Roman" w:hAnsi="Times New Roman" w:cs="Times New Roman"/>
                <w:sz w:val="20"/>
                <w:szCs w:val="20"/>
              </w:rPr>
              <w:t>niraparybu</w:t>
            </w:r>
            <w:proofErr w:type="spellEnd"/>
            <w:r w:rsidRPr="00E21881">
              <w:rPr>
                <w:rFonts w:ascii="Times New Roman" w:hAnsi="Times New Roman" w:cs="Times New Roman"/>
                <w:sz w:val="20"/>
                <w:szCs w:val="20"/>
              </w:rPr>
              <w:t xml:space="preserve"> w skojarzeniu z octanem </w:t>
            </w:r>
            <w:proofErr w:type="spellStart"/>
            <w:r w:rsidRPr="00E21881">
              <w:rPr>
                <w:rFonts w:ascii="Times New Roman" w:hAnsi="Times New Roman" w:cs="Times New Roman"/>
                <w:sz w:val="20"/>
                <w:szCs w:val="20"/>
              </w:rPr>
              <w:t>abirateronu</w:t>
            </w:r>
            <w:proofErr w:type="spellEnd"/>
            <w:r w:rsidRPr="00E21881">
              <w:rPr>
                <w:rFonts w:ascii="Times New Roman" w:hAnsi="Times New Roman" w:cs="Times New Roman"/>
                <w:sz w:val="20"/>
                <w:szCs w:val="20"/>
              </w:rPr>
              <w:t xml:space="preserve"> przy użyciu dwóch oddzielnych tabletek (tabletki zawierającej </w:t>
            </w:r>
            <w:proofErr w:type="spellStart"/>
            <w:r w:rsidRPr="00E21881">
              <w:rPr>
                <w:rFonts w:ascii="Times New Roman" w:hAnsi="Times New Roman" w:cs="Times New Roman"/>
                <w:sz w:val="20"/>
                <w:szCs w:val="20"/>
              </w:rPr>
              <w:t>niraparyb</w:t>
            </w:r>
            <w:proofErr w:type="spellEnd"/>
            <w:r w:rsidRPr="00E21881">
              <w:rPr>
                <w:rFonts w:ascii="Times New Roman" w:hAnsi="Times New Roman" w:cs="Times New Roman"/>
                <w:sz w:val="20"/>
                <w:szCs w:val="20"/>
              </w:rPr>
              <w:t xml:space="preserve"> i osobno tabletki zawierającej octan </w:t>
            </w:r>
            <w:proofErr w:type="spellStart"/>
            <w:r w:rsidRPr="00E21881">
              <w:rPr>
                <w:rFonts w:ascii="Times New Roman" w:hAnsi="Times New Roman" w:cs="Times New Roman"/>
                <w:sz w:val="20"/>
                <w:szCs w:val="20"/>
              </w:rPr>
              <w:t>abirateronu</w:t>
            </w:r>
            <w:proofErr w:type="spellEnd"/>
            <w:r w:rsidRPr="00E21881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14:paraId="0DB5B0B3" w14:textId="77777777" w:rsidR="00E73964" w:rsidRPr="00E21881" w:rsidRDefault="00E73964" w:rsidP="00E07EF0">
            <w:pPr>
              <w:pStyle w:val="TableParagraph"/>
              <w:tabs>
                <w:tab w:val="left" w:pos="426"/>
              </w:tabs>
              <w:spacing w:after="60" w:line="276" w:lineRule="auto"/>
              <w:ind w:left="680"/>
              <w:jc w:val="both"/>
              <w:rPr>
                <w:sz w:val="20"/>
                <w:szCs w:val="20"/>
                <w:lang w:val="pl-PL"/>
              </w:rPr>
            </w:pPr>
          </w:p>
          <w:p w14:paraId="612CDDC2" w14:textId="77777777" w:rsidR="00E73964" w:rsidRPr="00E21881" w:rsidRDefault="00E73964" w:rsidP="00E73964">
            <w:pPr>
              <w:pStyle w:val="TableParagraph"/>
              <w:numPr>
                <w:ilvl w:val="0"/>
                <w:numId w:val="3"/>
              </w:numPr>
              <w:tabs>
                <w:tab w:val="left" w:pos="426"/>
              </w:tabs>
              <w:spacing w:after="60" w:line="276" w:lineRule="auto"/>
              <w:jc w:val="both"/>
              <w:rPr>
                <w:b/>
                <w:bCs/>
                <w:sz w:val="20"/>
                <w:szCs w:val="20"/>
                <w:lang w:val="pl-PL"/>
              </w:rPr>
            </w:pPr>
            <w:bookmarkStart w:id="4" w:name="_Hlk159845910"/>
            <w:r w:rsidRPr="00E21881">
              <w:rPr>
                <w:b/>
                <w:bCs/>
                <w:sz w:val="20"/>
                <w:szCs w:val="20"/>
                <w:lang w:val="pl-PL"/>
              </w:rPr>
              <w:t>Modyfikacja dawkowania leków</w:t>
            </w:r>
          </w:p>
          <w:p w14:paraId="156E0BF0" w14:textId="11444E32" w:rsidR="00E73964" w:rsidRPr="00E21881" w:rsidRDefault="00E73964" w:rsidP="00E73964">
            <w:pPr>
              <w:pStyle w:val="TableParagraph"/>
              <w:tabs>
                <w:tab w:val="left" w:pos="426"/>
              </w:tabs>
              <w:spacing w:after="60" w:line="276" w:lineRule="auto"/>
              <w:ind w:left="0"/>
              <w:jc w:val="both"/>
              <w:rPr>
                <w:sz w:val="20"/>
                <w:szCs w:val="20"/>
                <w:lang w:val="pl-PL"/>
              </w:rPr>
            </w:pPr>
            <w:r w:rsidRPr="00E21881">
              <w:rPr>
                <w:sz w:val="20"/>
                <w:szCs w:val="20"/>
                <w:lang w:val="pl-PL"/>
              </w:rPr>
              <w:t>Szczegóły dotyczące sposobu podawania, ewentualnego czasowego wstrzymania leczenia oraz ewentualnego zmniejszania dawki leku zgodnie z aktualną Charakterystyką Produktu Leczniczego.</w:t>
            </w:r>
          </w:p>
          <w:bookmarkEnd w:id="4"/>
          <w:p w14:paraId="33EEFD35" w14:textId="77777777" w:rsidR="00CA0696" w:rsidRPr="00E21881" w:rsidRDefault="00CA0696" w:rsidP="00303C40">
            <w:pPr>
              <w:pStyle w:val="TableParagraph"/>
              <w:tabs>
                <w:tab w:val="left" w:pos="426"/>
              </w:tabs>
              <w:spacing w:after="60" w:line="276" w:lineRule="auto"/>
              <w:ind w:left="0" w:right="93"/>
              <w:jc w:val="both"/>
              <w:rPr>
                <w:rFonts w:eastAsia="SimSun"/>
                <w:sz w:val="20"/>
                <w:szCs w:val="20"/>
                <w:lang w:val="pl-PL" w:eastAsia="zh-CN"/>
              </w:rPr>
            </w:pPr>
          </w:p>
          <w:p w14:paraId="254B40FE" w14:textId="1C61DEB5" w:rsidR="00CA0696" w:rsidRPr="00E21881" w:rsidRDefault="00CA0696" w:rsidP="00303C40">
            <w:pPr>
              <w:autoSpaceDN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C320E" w14:textId="70C739AD" w:rsidR="0026562F" w:rsidRPr="00E21881" w:rsidRDefault="0026562F" w:rsidP="00303C40">
            <w:pPr>
              <w:pStyle w:val="Akapitzlist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E21881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lastRenderedPageBreak/>
              <w:t>Badania</w:t>
            </w:r>
            <w:r w:rsidR="00A862A6" w:rsidRPr="00E21881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E21881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przy</w:t>
            </w:r>
            <w:r w:rsidR="00A862A6" w:rsidRPr="00E21881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E21881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kwalifikacji</w:t>
            </w:r>
            <w:r w:rsidR="00E85523" w:rsidRPr="00E21881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do leczenia</w:t>
            </w:r>
          </w:p>
          <w:p w14:paraId="56639583" w14:textId="0195579A" w:rsidR="003E618B" w:rsidRPr="00E21881" w:rsidRDefault="00BA3747" w:rsidP="00303C40">
            <w:pPr>
              <w:pStyle w:val="Akapitzlist"/>
              <w:widowControl w:val="0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1881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bidi="pl-PL"/>
              </w:rPr>
              <w:t>h</w:t>
            </w:r>
            <w:r w:rsidR="0026562F" w:rsidRPr="00E21881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bidi="pl-PL"/>
              </w:rPr>
              <w:t>istologicznie</w:t>
            </w:r>
            <w:r w:rsidR="00CD7BC8" w:rsidRPr="00E21881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bidi="pl-PL"/>
              </w:rPr>
              <w:t xml:space="preserve"> </w:t>
            </w:r>
            <w:r w:rsidR="0026562F" w:rsidRPr="00E21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potwierdzone</w:t>
            </w:r>
            <w:r w:rsidR="00A862A6" w:rsidRPr="00E21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="0026562F" w:rsidRPr="00E21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rozpoznanie</w:t>
            </w:r>
            <w:r w:rsidR="00A862A6" w:rsidRPr="00E21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="0026562F" w:rsidRPr="00E21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raka</w:t>
            </w:r>
            <w:r w:rsidR="00A862A6" w:rsidRPr="00E21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="0026562F" w:rsidRPr="00E21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gruczołu</w:t>
            </w:r>
            <w:r w:rsidR="00A862A6" w:rsidRPr="00E21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="0026562F" w:rsidRPr="00E21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krokowego;</w:t>
            </w:r>
          </w:p>
          <w:p w14:paraId="61CD59EC" w14:textId="27BCC1B5" w:rsidR="003E618B" w:rsidRPr="00E21881" w:rsidRDefault="00D61930" w:rsidP="00303C40">
            <w:pPr>
              <w:pStyle w:val="Akapitzlist"/>
              <w:widowControl w:val="0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1881">
              <w:rPr>
                <w:rFonts w:ascii="Times New Roman" w:eastAsia="Calibri" w:hAnsi="Times New Roman" w:cs="Times New Roman"/>
                <w:sz w:val="20"/>
                <w:szCs w:val="20"/>
              </w:rPr>
              <w:t>morfologia krwi z rozmazem</w:t>
            </w:r>
            <w:r w:rsidR="00C90AA6" w:rsidRPr="00E21881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  <w:r w:rsidR="006252F7" w:rsidRPr="00E218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14:paraId="5DE2FE6A" w14:textId="77777777" w:rsidR="003E618B" w:rsidRPr="00E21881" w:rsidRDefault="00A94D35" w:rsidP="00303C40">
            <w:pPr>
              <w:pStyle w:val="Akapitzlist"/>
              <w:widowControl w:val="0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1881">
              <w:rPr>
                <w:rFonts w:ascii="Times New Roman" w:eastAsia="Calibri" w:hAnsi="Times New Roman" w:cs="Times New Roman"/>
                <w:sz w:val="20"/>
                <w:szCs w:val="20"/>
              </w:rPr>
              <w:t>oznaczenie stężenia PSA;</w:t>
            </w:r>
          </w:p>
          <w:p w14:paraId="610ADE39" w14:textId="77777777" w:rsidR="003E618B" w:rsidRPr="00E21881" w:rsidRDefault="00A94D35" w:rsidP="00303C40">
            <w:pPr>
              <w:pStyle w:val="Akapitzlist"/>
              <w:widowControl w:val="0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1881">
              <w:rPr>
                <w:rFonts w:ascii="Times New Roman" w:eastAsia="Calibri" w:hAnsi="Times New Roman" w:cs="Times New Roman"/>
                <w:sz w:val="20"/>
                <w:szCs w:val="20"/>
              </w:rPr>
              <w:t>oznaczenie stężenia testosteronu;</w:t>
            </w:r>
          </w:p>
          <w:p w14:paraId="1F155772" w14:textId="2A3F3D55" w:rsidR="003E618B" w:rsidRPr="00E21881" w:rsidRDefault="00A94D35" w:rsidP="00303C40">
            <w:pPr>
              <w:pStyle w:val="Akapitzlist"/>
              <w:widowControl w:val="0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1881">
              <w:rPr>
                <w:rFonts w:ascii="Times New Roman" w:eastAsia="Calibri" w:hAnsi="Times New Roman" w:cs="Times New Roman"/>
                <w:sz w:val="20"/>
                <w:szCs w:val="20"/>
              </w:rPr>
              <w:t>oznaczenie stężenia kreatyniny</w:t>
            </w:r>
            <w:r w:rsidR="009061AA" w:rsidRPr="00E218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061AA" w:rsidRPr="00E2188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D475D5" w:rsidRPr="00E21881">
              <w:rPr>
                <w:rFonts w:ascii="Times New Roman" w:hAnsi="Times New Roman" w:cs="Times New Roman"/>
                <w:sz w:val="20"/>
                <w:szCs w:val="20"/>
              </w:rPr>
              <w:t xml:space="preserve">w przypadku leczenia </w:t>
            </w:r>
            <w:proofErr w:type="spellStart"/>
            <w:r w:rsidR="00D475D5" w:rsidRPr="00E21881">
              <w:rPr>
                <w:rFonts w:ascii="Times New Roman" w:hAnsi="Times New Roman" w:cs="Times New Roman"/>
                <w:sz w:val="20"/>
                <w:szCs w:val="20"/>
              </w:rPr>
              <w:t>olaparybem</w:t>
            </w:r>
            <w:proofErr w:type="spellEnd"/>
            <w:r w:rsidR="00D475D5" w:rsidRPr="00E21881">
              <w:rPr>
                <w:rFonts w:ascii="Times New Roman" w:hAnsi="Times New Roman" w:cs="Times New Roman"/>
                <w:sz w:val="20"/>
                <w:szCs w:val="20"/>
              </w:rPr>
              <w:t xml:space="preserve"> także</w:t>
            </w:r>
            <w:r w:rsidR="009061AA" w:rsidRPr="00E21881">
              <w:rPr>
                <w:rFonts w:ascii="Times New Roman" w:hAnsi="Times New Roman" w:cs="Times New Roman"/>
                <w:sz w:val="20"/>
                <w:szCs w:val="20"/>
              </w:rPr>
              <w:t xml:space="preserve"> wyliczenie </w:t>
            </w:r>
            <w:proofErr w:type="spellStart"/>
            <w:r w:rsidR="009061AA" w:rsidRPr="00E21881">
              <w:rPr>
                <w:rFonts w:ascii="Times New Roman" w:hAnsi="Times New Roman" w:cs="Times New Roman"/>
                <w:sz w:val="20"/>
                <w:szCs w:val="20"/>
              </w:rPr>
              <w:t>klirensu</w:t>
            </w:r>
            <w:proofErr w:type="spellEnd"/>
            <w:r w:rsidR="009061AA" w:rsidRPr="00E21881">
              <w:rPr>
                <w:rFonts w:ascii="Times New Roman" w:hAnsi="Times New Roman" w:cs="Times New Roman"/>
                <w:sz w:val="20"/>
                <w:szCs w:val="20"/>
              </w:rPr>
              <w:t xml:space="preserve"> kreatyniny)</w:t>
            </w:r>
            <w:r w:rsidRPr="00E21881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14:paraId="5FF64C90" w14:textId="55386397" w:rsidR="003E618B" w:rsidRPr="00E21881" w:rsidRDefault="00A94D35" w:rsidP="00303C40">
            <w:pPr>
              <w:pStyle w:val="Akapitzlist"/>
              <w:widowControl w:val="0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1881">
              <w:rPr>
                <w:rFonts w:ascii="Times New Roman" w:eastAsia="Calibri" w:hAnsi="Times New Roman" w:cs="Times New Roman"/>
                <w:sz w:val="20"/>
                <w:szCs w:val="20"/>
              </w:rPr>
              <w:t>oznaczenie stężenia bilirubiny</w:t>
            </w:r>
            <w:r w:rsidR="00C90AA6" w:rsidRPr="00E21881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14:paraId="49770283" w14:textId="6F51821A" w:rsidR="003E618B" w:rsidRPr="00E21881" w:rsidRDefault="00733D0D" w:rsidP="00303C40">
            <w:pPr>
              <w:pStyle w:val="Akapitzlist"/>
              <w:widowControl w:val="0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1881">
              <w:rPr>
                <w:rFonts w:ascii="Times New Roman" w:hAnsi="Times New Roman" w:cs="Times New Roman"/>
                <w:sz w:val="20"/>
                <w:szCs w:val="20"/>
              </w:rPr>
              <w:t>oznaczenie aktywności aminotransferazy alaninowej</w:t>
            </w:r>
            <w:r w:rsidR="00C90AA6" w:rsidRPr="00E2188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6252F7" w:rsidRPr="00E218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72783C5" w14:textId="01C1D1C4" w:rsidR="00056031" w:rsidRPr="00E21881" w:rsidRDefault="00733D0D" w:rsidP="00303C40">
            <w:pPr>
              <w:pStyle w:val="Akapitzlist"/>
              <w:widowControl w:val="0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1881">
              <w:rPr>
                <w:rFonts w:ascii="Times New Roman" w:hAnsi="Times New Roman" w:cs="Times New Roman"/>
                <w:sz w:val="20"/>
                <w:szCs w:val="20"/>
              </w:rPr>
              <w:t xml:space="preserve">oznaczenie aktywności aminotransferazy </w:t>
            </w:r>
            <w:proofErr w:type="spellStart"/>
            <w:r w:rsidRPr="00E21881">
              <w:rPr>
                <w:rFonts w:ascii="Times New Roman" w:hAnsi="Times New Roman" w:cs="Times New Roman"/>
                <w:sz w:val="20"/>
                <w:szCs w:val="20"/>
              </w:rPr>
              <w:t>asparaginianowej</w:t>
            </w:r>
            <w:proofErr w:type="spellEnd"/>
            <w:r w:rsidR="00C90AA6" w:rsidRPr="00E2188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E334491" w14:textId="7DC334F4" w:rsidR="00BE5454" w:rsidRPr="00E21881" w:rsidRDefault="00056031" w:rsidP="00303C40">
            <w:pPr>
              <w:pStyle w:val="Akapitzlist"/>
              <w:widowControl w:val="0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18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</w:t>
            </w:r>
            <w:r w:rsidR="00860160" w:rsidRPr="00E218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cyntygrafia kośćca</w:t>
            </w:r>
            <w:r w:rsidR="00603AEB" w:rsidRPr="00E218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3198FAA6" w14:textId="4ACB4ECD" w:rsidR="00444F53" w:rsidRPr="00E21881" w:rsidRDefault="00056031" w:rsidP="00303C40">
            <w:pPr>
              <w:pStyle w:val="Akapitzlist"/>
              <w:widowControl w:val="0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1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o</w:t>
            </w:r>
            <w:r w:rsidR="00860160" w:rsidRPr="00E21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brazowanie (rentgenografia lub tomografia komputerowa lub rezonans magnetyczny</w:t>
            </w:r>
            <w:r w:rsidR="00FD09D1" w:rsidRPr="00E21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="00860160" w:rsidRPr="00E21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w zależności od sytuacji klinicznej</w:t>
            </w:r>
            <w:r w:rsidR="002D154C" w:rsidRPr="00E21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)</w:t>
            </w:r>
            <w:r w:rsidR="00FE61C2" w:rsidRPr="00E2188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;</w:t>
            </w:r>
          </w:p>
          <w:p w14:paraId="5E1330EC" w14:textId="0D7A57DB" w:rsidR="00444F53" w:rsidRPr="00E21881" w:rsidRDefault="00C324DB" w:rsidP="00303C40">
            <w:pPr>
              <w:pStyle w:val="Akapitzlist"/>
              <w:widowControl w:val="0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tomografia komputerowa jamy brzusznej i miednicy</w:t>
            </w:r>
            <w:r w:rsidR="00603AEB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(w przypadku leczenia</w:t>
            </w:r>
            <w:r w:rsidR="00477A99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="00E02AEC" w:rsidRPr="00E21881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apalutamidem</w:t>
            </w:r>
            <w:proofErr w:type="spellEnd"/>
            <w:r w:rsidR="00E02AEC" w:rsidRPr="00E21881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,</w:t>
            </w:r>
            <w:r w:rsidR="00E07EF0" w:rsidRPr="00E21881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="00EF14A9" w:rsidRPr="00E21881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darolutamidem</w:t>
            </w:r>
            <w:proofErr w:type="spellEnd"/>
            <w:r w:rsidR="00EF14A9" w:rsidRPr="00E21881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,</w:t>
            </w:r>
            <w:r w:rsidR="007243BA" w:rsidRPr="00E21881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="00E02AEC" w:rsidRPr="00E21881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lastRenderedPageBreak/>
              <w:t>enzalutamidem</w:t>
            </w:r>
            <w:proofErr w:type="spellEnd"/>
            <w:r w:rsidR="00EF14A9" w:rsidRPr="00E21881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="00E02AEC" w:rsidRPr="00E21881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chorych</w:t>
            </w:r>
            <w:r w:rsidR="00135F11" w:rsidRPr="00E21881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="00BC635B" w:rsidRPr="00E21881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na </w:t>
            </w:r>
            <w:proofErr w:type="spellStart"/>
            <w:r w:rsidR="00135F11" w:rsidRPr="00E21881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nm</w:t>
            </w:r>
            <w:r w:rsidR="00BC635B" w:rsidRPr="00E21881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CRPC</w:t>
            </w:r>
            <w:proofErr w:type="spellEnd"/>
            <w:r w:rsidRPr="00E21881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)</w:t>
            </w:r>
            <w:r w:rsidR="00603AEB" w:rsidRPr="00E21881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;</w:t>
            </w:r>
          </w:p>
          <w:p w14:paraId="5E0C2F2F" w14:textId="29892B93" w:rsidR="00444F53" w:rsidRPr="00E21881" w:rsidRDefault="00603AEB" w:rsidP="00303C40">
            <w:pPr>
              <w:pStyle w:val="Akapitzlist"/>
              <w:widowControl w:val="0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1881">
              <w:rPr>
                <w:rFonts w:ascii="Times New Roman" w:hAnsi="Times New Roman" w:cs="Times New Roman"/>
                <w:sz w:val="20"/>
                <w:szCs w:val="20"/>
              </w:rPr>
              <w:t xml:space="preserve">rentgenografia </w:t>
            </w:r>
            <w:r w:rsidR="000B5942" w:rsidRPr="00E21881">
              <w:rPr>
                <w:rFonts w:ascii="Times New Roman" w:hAnsi="Times New Roman" w:cs="Times New Roman"/>
                <w:sz w:val="20"/>
                <w:szCs w:val="20"/>
              </w:rPr>
              <w:t xml:space="preserve">lub tomografia komputerowa </w:t>
            </w:r>
            <w:r w:rsidRPr="00E21881">
              <w:rPr>
                <w:rFonts w:ascii="Times New Roman" w:hAnsi="Times New Roman" w:cs="Times New Roman"/>
                <w:sz w:val="20"/>
                <w:szCs w:val="20"/>
              </w:rPr>
              <w:t xml:space="preserve">klatki piersiowej </w:t>
            </w:r>
            <w:r w:rsidR="005049D6" w:rsidRPr="00E2188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02AEC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 przypadku leczenia</w:t>
            </w:r>
            <w:r w:rsidR="007243BA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="005049D6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apalutamidem</w:t>
            </w:r>
            <w:proofErr w:type="spellEnd"/>
            <w:r w:rsidR="005049D6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, </w:t>
            </w:r>
            <w:proofErr w:type="spellStart"/>
            <w:r w:rsidR="005049D6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darolutamidem</w:t>
            </w:r>
            <w:proofErr w:type="spellEnd"/>
            <w:r w:rsidR="005049D6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, </w:t>
            </w:r>
            <w:proofErr w:type="spellStart"/>
            <w:r w:rsidR="005049D6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enzalutamidem</w:t>
            </w:r>
            <w:proofErr w:type="spellEnd"/>
            <w:r w:rsidR="005049D6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chorych na </w:t>
            </w:r>
            <w:proofErr w:type="spellStart"/>
            <w:r w:rsidR="005049D6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nmCRPC</w:t>
            </w:r>
            <w:proofErr w:type="spellEnd"/>
            <w:r w:rsidR="00E02AEC" w:rsidRPr="00E21881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;</w:t>
            </w:r>
          </w:p>
          <w:p w14:paraId="52C663B7" w14:textId="5E340628" w:rsidR="00B10952" w:rsidRPr="00E21881" w:rsidRDefault="00444F53" w:rsidP="00303C40">
            <w:pPr>
              <w:pStyle w:val="Akapitzlist"/>
              <w:widowControl w:val="0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188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6457B0" w:rsidRPr="00E21881">
              <w:rPr>
                <w:rFonts w:ascii="Times New Roman" w:hAnsi="Times New Roman" w:cs="Times New Roman"/>
                <w:sz w:val="20"/>
                <w:szCs w:val="20"/>
              </w:rPr>
              <w:t>nne badania w razie wskazań klinicznych.</w:t>
            </w:r>
          </w:p>
          <w:p w14:paraId="10319BB2" w14:textId="18F337CD" w:rsidR="000D3AFD" w:rsidRPr="00E21881" w:rsidRDefault="000D3AFD" w:rsidP="00303C40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1881">
              <w:rPr>
                <w:rFonts w:ascii="Times New Roman" w:hAnsi="Times New Roman" w:cs="Times New Roman"/>
                <w:sz w:val="20"/>
                <w:szCs w:val="20"/>
              </w:rPr>
              <w:t xml:space="preserve">Badania obrazowe </w:t>
            </w:r>
            <w:r w:rsidR="00BE5454" w:rsidRPr="00E21881">
              <w:rPr>
                <w:rFonts w:ascii="Times New Roman" w:hAnsi="Times New Roman" w:cs="Times New Roman"/>
                <w:sz w:val="20"/>
                <w:szCs w:val="20"/>
              </w:rPr>
              <w:t xml:space="preserve">powinny być </w:t>
            </w:r>
            <w:r w:rsidRPr="00E21881">
              <w:rPr>
                <w:rFonts w:ascii="Times New Roman" w:hAnsi="Times New Roman" w:cs="Times New Roman"/>
                <w:sz w:val="20"/>
                <w:szCs w:val="20"/>
              </w:rPr>
              <w:t>wykonane w ciągu 3 miesięcy przed włączeniem do programu.</w:t>
            </w:r>
          </w:p>
          <w:p w14:paraId="0CFD3A5B" w14:textId="2CDCF9DF" w:rsidR="00895DD1" w:rsidRPr="00E21881" w:rsidRDefault="00895DD1" w:rsidP="00303C40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1881">
              <w:rPr>
                <w:rFonts w:ascii="Times New Roman" w:hAnsi="Times New Roman" w:cs="Times New Roman"/>
                <w:sz w:val="20"/>
                <w:szCs w:val="20"/>
              </w:rPr>
              <w:t>Wstępne badania obrazowe musz</w:t>
            </w:r>
            <w:r w:rsidR="00D61930" w:rsidRPr="00E21881">
              <w:rPr>
                <w:rFonts w:ascii="Times New Roman" w:hAnsi="Times New Roman" w:cs="Times New Roman"/>
                <w:sz w:val="20"/>
                <w:szCs w:val="20"/>
              </w:rPr>
              <w:t>ą umożliwiać późniejszą obiektywną ocenę odpowiedzi na leczenie wg aktualnych kryteriów RECIST</w:t>
            </w:r>
            <w:r w:rsidR="00BE5454" w:rsidRPr="00E21881">
              <w:rPr>
                <w:rFonts w:ascii="Times New Roman" w:hAnsi="Times New Roman" w:cs="Times New Roman"/>
                <w:sz w:val="20"/>
                <w:szCs w:val="20"/>
              </w:rPr>
              <w:t xml:space="preserve"> lub PCWG</w:t>
            </w:r>
            <w:r w:rsidR="00D61930" w:rsidRPr="00E2188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8C0C713" w14:textId="77777777" w:rsidR="00ED0B17" w:rsidRPr="00E21881" w:rsidRDefault="00ED0B17" w:rsidP="00303C40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D03D8D" w14:textId="18BEC520" w:rsidR="007243BA" w:rsidRPr="00E21881" w:rsidRDefault="007243BA" w:rsidP="00E85523">
            <w:pPr>
              <w:pStyle w:val="Akapitzlist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E21881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Monitorowanie bezpieczeństwa</w:t>
            </w:r>
            <w:r w:rsidR="00E85523" w:rsidRPr="00E21881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leczenia</w:t>
            </w:r>
          </w:p>
          <w:p w14:paraId="428706B5" w14:textId="119D8755" w:rsidR="00877F06" w:rsidRPr="00E21881" w:rsidRDefault="00877F06" w:rsidP="00303C40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morfologia krwi z rozmazem (</w:t>
            </w:r>
            <w:r w:rsidR="00576993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 przypadku leczenia</w:t>
            </w:r>
            <w:r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="00D475D5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docetakselem</w:t>
            </w:r>
            <w:proofErr w:type="spellEnd"/>
            <w:r w:rsidR="00D475D5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z </w:t>
            </w:r>
            <w:proofErr w:type="spellStart"/>
            <w:r w:rsidR="00D475D5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darolutamidem</w:t>
            </w:r>
            <w:proofErr w:type="spellEnd"/>
            <w:r w:rsidR="00D475D5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CE324B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(</w:t>
            </w:r>
            <w:r w:rsidR="00D475D5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nie dotyczy fazy </w:t>
            </w:r>
            <w:proofErr w:type="spellStart"/>
            <w:r w:rsidR="00D475D5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monoterapii</w:t>
            </w:r>
            <w:proofErr w:type="spellEnd"/>
            <w:r w:rsidR="00D475D5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="00D475D5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darolutamidem</w:t>
            </w:r>
            <w:proofErr w:type="spellEnd"/>
            <w:r w:rsidR="00CE324B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)</w:t>
            </w:r>
            <w:r w:rsidR="001B4C1B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, </w:t>
            </w:r>
            <w:r w:rsidR="00E07EF0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albo </w:t>
            </w:r>
            <w:proofErr w:type="spellStart"/>
            <w:r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olaparyb</w:t>
            </w:r>
            <w:r w:rsidR="00576993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em</w:t>
            </w:r>
            <w:proofErr w:type="spellEnd"/>
            <w:r w:rsidR="00F405E5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albo </w:t>
            </w:r>
            <w:proofErr w:type="spellStart"/>
            <w:r w:rsidR="00F405E5" w:rsidRPr="00E218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niraparybem</w:t>
            </w:r>
            <w:proofErr w:type="spellEnd"/>
            <w:r w:rsidR="00F405E5" w:rsidRPr="00E218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+ octanem </w:t>
            </w:r>
            <w:proofErr w:type="spellStart"/>
            <w:r w:rsidR="00F405E5" w:rsidRPr="00E218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abirateronu</w:t>
            </w:r>
            <w:proofErr w:type="spellEnd"/>
            <w:r w:rsidR="007243BA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)</w:t>
            </w:r>
            <w:r w:rsidR="0007274E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51192173" w14:textId="75125841" w:rsidR="00877F06" w:rsidRPr="00E21881" w:rsidRDefault="00877F06" w:rsidP="00303C40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oznaczenie stężenia bilirubiny (</w:t>
            </w:r>
            <w:r w:rsidR="00D475D5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w przypadku leczenia </w:t>
            </w:r>
            <w:proofErr w:type="spellStart"/>
            <w:r w:rsidR="00D475D5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docetakselem</w:t>
            </w:r>
            <w:proofErr w:type="spellEnd"/>
            <w:r w:rsidR="00D475D5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z </w:t>
            </w:r>
            <w:proofErr w:type="spellStart"/>
            <w:r w:rsidR="00D475D5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darolutamidem</w:t>
            </w:r>
            <w:proofErr w:type="spellEnd"/>
            <w:r w:rsidR="00D475D5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CE324B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(</w:t>
            </w:r>
            <w:r w:rsidR="00D475D5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nie dotyczy fazy </w:t>
            </w:r>
            <w:proofErr w:type="spellStart"/>
            <w:r w:rsidR="00D475D5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monoterapii</w:t>
            </w:r>
            <w:proofErr w:type="spellEnd"/>
            <w:r w:rsidR="00D475D5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="00D475D5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darolutamidem</w:t>
            </w:r>
            <w:proofErr w:type="spellEnd"/>
            <w:r w:rsidR="00CE324B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)</w:t>
            </w:r>
            <w:r w:rsidR="00E07EF0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  <w:r w:rsidR="00D475D5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</w:p>
          <w:p w14:paraId="4C250E7F" w14:textId="368A980A" w:rsidR="00877F06" w:rsidRPr="00E21881" w:rsidRDefault="00877F06" w:rsidP="00477A99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oznaczenie aktywności aminotransferazy alaninowej (</w:t>
            </w:r>
            <w:r w:rsidR="00576993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w przypadku </w:t>
            </w:r>
            <w:r w:rsidR="00D475D5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leczenia </w:t>
            </w:r>
            <w:proofErr w:type="spellStart"/>
            <w:r w:rsidR="00D475D5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docetakselem</w:t>
            </w:r>
            <w:proofErr w:type="spellEnd"/>
            <w:r w:rsidR="00D475D5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z </w:t>
            </w:r>
            <w:proofErr w:type="spellStart"/>
            <w:r w:rsidR="00D475D5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darolutamidem</w:t>
            </w:r>
            <w:proofErr w:type="spellEnd"/>
            <w:r w:rsidR="00D475D5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CE324B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(</w:t>
            </w:r>
            <w:r w:rsidR="00D475D5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nie dotyczy fazy </w:t>
            </w:r>
            <w:proofErr w:type="spellStart"/>
            <w:r w:rsidR="00D475D5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monoterapii</w:t>
            </w:r>
            <w:proofErr w:type="spellEnd"/>
            <w:r w:rsidR="00D475D5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="00D475D5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darolutamidem</w:t>
            </w:r>
            <w:proofErr w:type="spellEnd"/>
            <w:r w:rsidR="00CE324B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)</w:t>
            </w:r>
            <w:r w:rsidR="0038668A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44A9F02F" w14:textId="1F2B2327" w:rsidR="00877F06" w:rsidRPr="00E21881" w:rsidRDefault="00877F06" w:rsidP="00477A99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oznaczenie aktywności aminotransferazy </w:t>
            </w:r>
            <w:proofErr w:type="spellStart"/>
            <w:r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asparaginianowej</w:t>
            </w:r>
            <w:proofErr w:type="spellEnd"/>
            <w:r w:rsidR="006252F7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(</w:t>
            </w:r>
            <w:r w:rsidR="00576993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 przypadku leczenia</w:t>
            </w:r>
            <w:r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="00D475D5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docetakselem</w:t>
            </w:r>
            <w:proofErr w:type="spellEnd"/>
            <w:r w:rsidR="00D475D5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z </w:t>
            </w:r>
            <w:proofErr w:type="spellStart"/>
            <w:r w:rsidR="00D475D5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darolutamidem</w:t>
            </w:r>
            <w:proofErr w:type="spellEnd"/>
            <w:r w:rsidR="00D475D5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D35C74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(</w:t>
            </w:r>
            <w:r w:rsidR="00D475D5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nie dotyczy fazy </w:t>
            </w:r>
            <w:proofErr w:type="spellStart"/>
            <w:r w:rsidR="00D475D5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monoterapii</w:t>
            </w:r>
            <w:proofErr w:type="spellEnd"/>
            <w:r w:rsidR="00D475D5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="00D475D5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darolutamidem</w:t>
            </w:r>
            <w:proofErr w:type="spellEnd"/>
            <w:r w:rsidR="00D35C74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)</w:t>
            </w:r>
            <w:r w:rsidR="0038668A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3D0873CE" w14:textId="13B8830B" w:rsidR="00BE4901" w:rsidRPr="00E21881" w:rsidRDefault="00BE4901" w:rsidP="00303C40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lastRenderedPageBreak/>
              <w:t>oznaczenie stężenia kreatyniny (</w:t>
            </w:r>
            <w:r w:rsidR="00576993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 przypadku leczenia</w:t>
            </w:r>
            <w:r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olaparyb</w:t>
            </w:r>
            <w:r w:rsidR="00576993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em</w:t>
            </w:r>
            <w:proofErr w:type="spellEnd"/>
            <w:r w:rsidR="004377CE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F405E5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albo </w:t>
            </w:r>
            <w:proofErr w:type="spellStart"/>
            <w:r w:rsidR="00F405E5" w:rsidRPr="00E218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niraparybem</w:t>
            </w:r>
            <w:proofErr w:type="spellEnd"/>
            <w:r w:rsidR="00F405E5" w:rsidRPr="00E218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+ octanem </w:t>
            </w:r>
            <w:proofErr w:type="spellStart"/>
            <w:r w:rsidR="00F405E5" w:rsidRPr="00E218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abirateronu</w:t>
            </w:r>
            <w:proofErr w:type="spellEnd"/>
            <w:r w:rsidR="00F405E5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377CE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także wyliczenie </w:t>
            </w:r>
            <w:proofErr w:type="spellStart"/>
            <w:r w:rsidR="004377CE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klirensu</w:t>
            </w:r>
            <w:proofErr w:type="spellEnd"/>
            <w:r w:rsidR="004377CE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kreatyniny</w:t>
            </w:r>
            <w:r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);</w:t>
            </w:r>
          </w:p>
          <w:p w14:paraId="5DADBD6A" w14:textId="77777777" w:rsidR="001B35D2" w:rsidRPr="00E21881" w:rsidRDefault="001B35D2" w:rsidP="001B35D2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1881">
              <w:rPr>
                <w:rFonts w:ascii="Times New Roman" w:hAnsi="Times New Roman" w:cs="Times New Roman"/>
                <w:sz w:val="20"/>
                <w:szCs w:val="20"/>
              </w:rPr>
              <w:t>Badania laboratoryjne wykonuje się:</w:t>
            </w:r>
          </w:p>
          <w:p w14:paraId="6D4882B7" w14:textId="77777777" w:rsidR="001B35D2" w:rsidRPr="00E21881" w:rsidRDefault="001B35D2" w:rsidP="001B35D2">
            <w:pPr>
              <w:pStyle w:val="Akapitzlist"/>
              <w:numPr>
                <w:ilvl w:val="5"/>
                <w:numId w:val="4"/>
              </w:numPr>
              <w:spacing w:after="60" w:line="276" w:lineRule="auto"/>
              <w:ind w:left="517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E21881">
              <w:rPr>
                <w:rFonts w:ascii="Times New Roman" w:hAnsi="Times New Roman" w:cs="Times New Roman"/>
                <w:sz w:val="20"/>
                <w:szCs w:val="20"/>
              </w:rPr>
              <w:t>badania krwi regularnie co 2-3 miesiące, również przy braku wskazań klinicznych;</w:t>
            </w:r>
          </w:p>
          <w:p w14:paraId="11CBA650" w14:textId="34F5F069" w:rsidR="001B35D2" w:rsidRPr="00E21881" w:rsidRDefault="001B35D2" w:rsidP="001B35D2">
            <w:pPr>
              <w:pStyle w:val="Akapitzlist"/>
              <w:numPr>
                <w:ilvl w:val="5"/>
                <w:numId w:val="4"/>
              </w:numPr>
              <w:spacing w:after="60" w:line="276" w:lineRule="auto"/>
              <w:ind w:left="517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E21881">
              <w:rPr>
                <w:rFonts w:ascii="Times New Roman" w:hAnsi="Times New Roman" w:cs="Times New Roman"/>
                <w:sz w:val="20"/>
                <w:szCs w:val="20"/>
              </w:rPr>
              <w:t xml:space="preserve">przed podaniem każdej dawki leku w przypadku leczenia </w:t>
            </w:r>
            <w:proofErr w:type="spellStart"/>
            <w:r w:rsidR="004377CE" w:rsidRPr="00E21881">
              <w:rPr>
                <w:rFonts w:ascii="Times New Roman" w:hAnsi="Times New Roman" w:cs="Times New Roman"/>
                <w:sz w:val="20"/>
                <w:szCs w:val="20"/>
              </w:rPr>
              <w:t>docetakselem</w:t>
            </w:r>
            <w:proofErr w:type="spellEnd"/>
            <w:r w:rsidR="004377CE" w:rsidRPr="00E21881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proofErr w:type="spellStart"/>
            <w:r w:rsidR="004377CE" w:rsidRPr="00E21881">
              <w:rPr>
                <w:rFonts w:ascii="Times New Roman" w:hAnsi="Times New Roman" w:cs="Times New Roman"/>
                <w:sz w:val="20"/>
                <w:szCs w:val="20"/>
              </w:rPr>
              <w:t>darolutamidem</w:t>
            </w:r>
            <w:proofErr w:type="spellEnd"/>
            <w:r w:rsidR="004377CE" w:rsidRPr="00E218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35C74" w:rsidRPr="00E2188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4377CE" w:rsidRPr="00E21881">
              <w:rPr>
                <w:rFonts w:ascii="Times New Roman" w:hAnsi="Times New Roman" w:cs="Times New Roman"/>
                <w:sz w:val="20"/>
                <w:szCs w:val="20"/>
              </w:rPr>
              <w:t xml:space="preserve">nie dotyczy fazy </w:t>
            </w:r>
            <w:proofErr w:type="spellStart"/>
            <w:r w:rsidR="004377CE" w:rsidRPr="00E21881"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  <w:proofErr w:type="spellEnd"/>
            <w:r w:rsidR="004377CE" w:rsidRPr="00E218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377CE" w:rsidRPr="00E21881">
              <w:rPr>
                <w:rFonts w:ascii="Times New Roman" w:hAnsi="Times New Roman" w:cs="Times New Roman"/>
                <w:sz w:val="20"/>
                <w:szCs w:val="20"/>
              </w:rPr>
              <w:t>darolutamidem</w:t>
            </w:r>
            <w:proofErr w:type="spellEnd"/>
            <w:r w:rsidR="00D35C74" w:rsidRPr="00E2188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38668A" w:rsidRPr="00E2188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CB7FA0B" w14:textId="4367D669" w:rsidR="001B35D2" w:rsidRPr="00E21881" w:rsidRDefault="001B35D2" w:rsidP="001B35D2">
            <w:pPr>
              <w:pStyle w:val="Akapitzlist"/>
              <w:numPr>
                <w:ilvl w:val="5"/>
                <w:numId w:val="4"/>
              </w:numPr>
              <w:spacing w:after="60" w:line="276" w:lineRule="auto"/>
              <w:ind w:left="517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morfologia krwi z rozmazem, oznaczenie stężenia kreatyniny i wyliczenie </w:t>
            </w:r>
            <w:proofErr w:type="spellStart"/>
            <w:r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klirensu</w:t>
            </w:r>
            <w:proofErr w:type="spellEnd"/>
            <w:r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kreatyniny nie rzadziej niż co 1 miesiąc (w przypadku leczenia </w:t>
            </w:r>
            <w:proofErr w:type="spellStart"/>
            <w:r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olaparybem</w:t>
            </w:r>
            <w:proofErr w:type="spellEnd"/>
            <w:r w:rsidR="00F405E5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albo </w:t>
            </w:r>
            <w:proofErr w:type="spellStart"/>
            <w:r w:rsidR="00F405E5" w:rsidRPr="00E218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niraparybem</w:t>
            </w:r>
            <w:proofErr w:type="spellEnd"/>
            <w:r w:rsidR="00F405E5" w:rsidRPr="00E218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+ octanem </w:t>
            </w:r>
            <w:proofErr w:type="spellStart"/>
            <w:r w:rsidR="00F405E5" w:rsidRPr="00E218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abirateronu</w:t>
            </w:r>
            <w:proofErr w:type="spellEnd"/>
            <w:r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).</w:t>
            </w:r>
          </w:p>
          <w:p w14:paraId="40CC2A27" w14:textId="77777777" w:rsidR="001B35D2" w:rsidRPr="00E21881" w:rsidRDefault="001B35D2" w:rsidP="00814B09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14:paraId="46A2650B" w14:textId="15BF6159" w:rsidR="001B35D2" w:rsidRPr="00E21881" w:rsidRDefault="001B35D2" w:rsidP="00E85523">
            <w:pPr>
              <w:pStyle w:val="Akapitzlist"/>
              <w:numPr>
                <w:ilvl w:val="0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E21881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Monitorowanie skuteczności</w:t>
            </w:r>
            <w:r w:rsidR="00E85523" w:rsidRPr="00E21881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leczenia</w:t>
            </w:r>
          </w:p>
          <w:p w14:paraId="5446CD88" w14:textId="597CA932" w:rsidR="00877F06" w:rsidRPr="00E21881" w:rsidRDefault="00877F06" w:rsidP="00814B09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oznaczenie stężenia PSA, nie rzadziej niż co 3 miesiące,</w:t>
            </w:r>
            <w:r w:rsidR="00475788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a w przypadku wskazań klinicznych decyzją lekarza kolejne oznaczenia mogą być wykonywane częściej;</w:t>
            </w:r>
          </w:p>
          <w:p w14:paraId="3B47CE65" w14:textId="632EF206" w:rsidR="00877F06" w:rsidRPr="00E21881" w:rsidRDefault="00877F06" w:rsidP="00814B09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badania obrazowe (</w:t>
            </w:r>
            <w:r w:rsidR="00CD7BC8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RTG/</w:t>
            </w:r>
            <w:r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TK/MR) w zależności od badania wykonanego przy kwalifikacji, nie rzadziej niż co 6 miesięcy;</w:t>
            </w:r>
          </w:p>
          <w:p w14:paraId="4CC5D96C" w14:textId="1B07B137" w:rsidR="00877F06" w:rsidRPr="00E21881" w:rsidRDefault="00877F06" w:rsidP="00814B09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scyntygrafia nie rzadziej niż co 6 miesięcy</w:t>
            </w:r>
            <w:r w:rsidR="00CD7BC8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5D32F12E" w14:textId="72573B43" w:rsidR="00877F06" w:rsidRPr="00E21881" w:rsidRDefault="00877F06" w:rsidP="00814B09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inne badania w zależności od sytuacji klinicznej</w:t>
            </w:r>
            <w:r w:rsidR="00303C40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.</w:t>
            </w:r>
          </w:p>
          <w:p w14:paraId="0D124116" w14:textId="59F06937" w:rsidR="00ED0B17" w:rsidRPr="00E21881" w:rsidRDefault="00D52694" w:rsidP="00303C40">
            <w:pPr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lastRenderedPageBreak/>
              <w:t>Badania oceniające odpowiedź powinny być wykonywane zawsze przy klinicznym podejrzeniu progresji</w:t>
            </w:r>
            <w:r w:rsidR="005E5777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.</w:t>
            </w:r>
          </w:p>
          <w:p w14:paraId="11F93021" w14:textId="77777777" w:rsidR="007243BA" w:rsidRPr="00E21881" w:rsidRDefault="007243BA" w:rsidP="00814B09">
            <w:pPr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Na podstawie ww. badań w celu monitorowania skuteczności leczenia przekazywane są dane dotyczące wybranych wskaźników skuteczności terapii, dla których jest możliwe ich określenie przez lekarza prowadzącego dla indywidualnego pacjenta, spośród:</w:t>
            </w:r>
          </w:p>
          <w:p w14:paraId="1FB82A39" w14:textId="77777777" w:rsidR="007243BA" w:rsidRPr="00E21881" w:rsidRDefault="007243BA" w:rsidP="001B4C1B">
            <w:pPr>
              <w:pStyle w:val="Akapitzlist"/>
              <w:numPr>
                <w:ilvl w:val="0"/>
                <w:numId w:val="7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całkowita odpowiedź (CR),</w:t>
            </w:r>
          </w:p>
          <w:p w14:paraId="77388413" w14:textId="77777777" w:rsidR="007243BA" w:rsidRPr="00E21881" w:rsidRDefault="007243BA" w:rsidP="001B4C1B">
            <w:pPr>
              <w:pStyle w:val="Akapitzlist"/>
              <w:numPr>
                <w:ilvl w:val="0"/>
                <w:numId w:val="7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częściowa odpowiedź (PR) albo </w:t>
            </w:r>
            <w:proofErr w:type="spellStart"/>
            <w:r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nonCR</w:t>
            </w:r>
            <w:proofErr w:type="spellEnd"/>
            <w:r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/</w:t>
            </w:r>
            <w:proofErr w:type="spellStart"/>
            <w:r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nonPD</w:t>
            </w:r>
            <w:proofErr w:type="spellEnd"/>
            <w:r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</w:t>
            </w:r>
          </w:p>
          <w:p w14:paraId="4E2FD605" w14:textId="0BA9BF43" w:rsidR="007243BA" w:rsidRPr="00E21881" w:rsidRDefault="007243BA" w:rsidP="001B4C1B">
            <w:pPr>
              <w:pStyle w:val="Akapitzlist"/>
              <w:numPr>
                <w:ilvl w:val="0"/>
                <w:numId w:val="7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stabilizacja (SD) albo non/CR/</w:t>
            </w:r>
            <w:proofErr w:type="spellStart"/>
            <w:r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nonPD</w:t>
            </w:r>
            <w:proofErr w:type="spellEnd"/>
            <w:r w:rsidR="0007274E"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</w:t>
            </w:r>
          </w:p>
          <w:p w14:paraId="1C32673E" w14:textId="77777777" w:rsidR="007243BA" w:rsidRPr="00E21881" w:rsidRDefault="007243BA" w:rsidP="001B4C1B">
            <w:pPr>
              <w:pStyle w:val="Akapitzlist"/>
              <w:numPr>
                <w:ilvl w:val="0"/>
                <w:numId w:val="7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progresja (PD),</w:t>
            </w:r>
          </w:p>
          <w:p w14:paraId="54AF7ECD" w14:textId="77777777" w:rsidR="007243BA" w:rsidRPr="00E21881" w:rsidRDefault="007243BA" w:rsidP="001B4C1B">
            <w:pPr>
              <w:pStyle w:val="Akapitzlist"/>
              <w:numPr>
                <w:ilvl w:val="0"/>
                <w:numId w:val="7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E21881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całkowite przeżycie (OS) albo czas wolny od progresji (PFS).</w:t>
            </w:r>
          </w:p>
          <w:p w14:paraId="6F3C9B41" w14:textId="77777777" w:rsidR="003E618B" w:rsidRPr="00E21881" w:rsidRDefault="003E618B" w:rsidP="00814B09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  <w:p w14:paraId="07D5C944" w14:textId="5AD58532" w:rsidR="0026562F" w:rsidRPr="00E21881" w:rsidRDefault="0026562F" w:rsidP="00E85523">
            <w:pPr>
              <w:pStyle w:val="Akapitzlist"/>
              <w:widowControl w:val="0"/>
              <w:numPr>
                <w:ilvl w:val="0"/>
                <w:numId w:val="16"/>
              </w:numPr>
              <w:shd w:val="clear" w:color="auto" w:fill="FFFFFF"/>
              <w:autoSpaceDE w:val="0"/>
              <w:autoSpaceDN w:val="0"/>
              <w:adjustRightInd w:val="0"/>
              <w:spacing w:after="60" w:line="276" w:lineRule="auto"/>
              <w:ind w:left="227" w:hanging="227"/>
              <w:contextualSpacing w:val="0"/>
              <w:jc w:val="both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E21881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Monitorowanie</w:t>
            </w:r>
            <w:r w:rsidR="00A862A6" w:rsidRPr="00E21881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E21881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programu</w:t>
            </w:r>
          </w:p>
          <w:p w14:paraId="7C8B6F83" w14:textId="77777777" w:rsidR="00CD7BC8" w:rsidRPr="00E21881" w:rsidRDefault="00CD7BC8" w:rsidP="00814B09">
            <w:pPr>
              <w:numPr>
                <w:ilvl w:val="3"/>
                <w:numId w:val="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1881">
              <w:rPr>
                <w:rFonts w:ascii="Times New Roman" w:hAnsi="Times New Roman" w:cs="Times New Roman"/>
                <w:sz w:val="20"/>
                <w:szCs w:val="20"/>
              </w:rPr>
              <w:t>gromadzenie w dokumentacji medycznej danych dotyczących monitorowania leczenia i każdorazowe ich przedstawianie na żądanie kontrolerów Narodowego Funduszu Zdrowia;</w:t>
            </w:r>
          </w:p>
          <w:p w14:paraId="2671A91B" w14:textId="241E37AC" w:rsidR="007243BA" w:rsidRPr="00E21881" w:rsidRDefault="007243BA" w:rsidP="00814B09">
            <w:pPr>
              <w:numPr>
                <w:ilvl w:val="3"/>
                <w:numId w:val="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1881">
              <w:rPr>
                <w:rFonts w:ascii="Times New Roman" w:hAnsi="Times New Roman" w:cs="Times New Roman"/>
                <w:sz w:val="20"/>
                <w:szCs w:val="20"/>
              </w:rPr>
              <w:t xml:space="preserve">uzupełnianie danych zawartych w elektronicznym systemie monitorowania programów lekowych, w tym przekazywanie danych dotyczących wskaźników skuteczności terapii zawartych w pkt. </w:t>
            </w:r>
            <w:r w:rsidR="001B4C1B" w:rsidRPr="00E2188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21881">
              <w:rPr>
                <w:rFonts w:ascii="Times New Roman" w:hAnsi="Times New Roman" w:cs="Times New Roman"/>
                <w:sz w:val="20"/>
                <w:szCs w:val="20"/>
              </w:rPr>
              <w:t xml:space="preserve"> dostępnym za pomocą aplikacji internetowej udostępnionej przez OW NFZ, z </w:t>
            </w:r>
            <w:r w:rsidRPr="00E2188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częstotliwością zgodną z opisem programu oraz na zakończenie leczenia;</w:t>
            </w:r>
          </w:p>
          <w:p w14:paraId="57F47187" w14:textId="6EAAB86A" w:rsidR="00CD7BC8" w:rsidRPr="00E21881" w:rsidRDefault="00CD7BC8" w:rsidP="00814B09">
            <w:pPr>
              <w:numPr>
                <w:ilvl w:val="3"/>
                <w:numId w:val="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1881">
              <w:rPr>
                <w:rFonts w:ascii="Times New Roman" w:hAnsi="Times New Roman" w:cs="Times New Roman"/>
                <w:sz w:val="20"/>
                <w:szCs w:val="20"/>
              </w:rPr>
              <w:t>przekazywanie informacji sprawozdawczo-rozliczeniowych do NFZ (informacje przekazuje się do NFZ w formie papierowej lub w formie elektronicznej) zgodnie z wymaganiami opublikowanymi przez NFZ.</w:t>
            </w:r>
          </w:p>
          <w:p w14:paraId="76556F78" w14:textId="418F2C67" w:rsidR="00491560" w:rsidRPr="00303C40" w:rsidRDefault="00491560" w:rsidP="00303C4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</w:tr>
    </w:tbl>
    <w:p w14:paraId="5C623218" w14:textId="77777777" w:rsidR="00A06AAE" w:rsidRPr="002B71D5" w:rsidRDefault="00A06AAE" w:rsidP="00B47AD3">
      <w:pPr>
        <w:jc w:val="both"/>
        <w:rPr>
          <w:sz w:val="2"/>
          <w:szCs w:val="2"/>
        </w:rPr>
      </w:pPr>
    </w:p>
    <w:sectPr w:rsidR="00A06AAE" w:rsidRPr="002B71D5" w:rsidSect="003B3345">
      <w:pgSz w:w="16838" w:h="11906" w:orient="landscape" w:code="9"/>
      <w:pgMar w:top="1588" w:right="720" w:bottom="1418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407420" w14:textId="77777777" w:rsidR="00947AF5" w:rsidRDefault="00947AF5">
      <w:pPr>
        <w:spacing w:after="0" w:line="240" w:lineRule="auto"/>
      </w:pPr>
      <w:r>
        <w:separator/>
      </w:r>
    </w:p>
  </w:endnote>
  <w:endnote w:type="continuationSeparator" w:id="0">
    <w:p w14:paraId="7D525D36" w14:textId="77777777" w:rsidR="00947AF5" w:rsidRDefault="00947A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780F8F" w14:textId="77777777" w:rsidR="00947AF5" w:rsidRDefault="00947AF5">
      <w:pPr>
        <w:spacing w:after="0" w:line="240" w:lineRule="auto"/>
      </w:pPr>
      <w:r>
        <w:separator/>
      </w:r>
    </w:p>
  </w:footnote>
  <w:footnote w:type="continuationSeparator" w:id="0">
    <w:p w14:paraId="7E2E7EA2" w14:textId="77777777" w:rsidR="00947AF5" w:rsidRDefault="00947A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85141"/>
    <w:multiLevelType w:val="hybridMultilevel"/>
    <w:tmpl w:val="E77E7C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C06273"/>
    <w:multiLevelType w:val="hybridMultilevel"/>
    <w:tmpl w:val="6CAC7F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671D6E"/>
    <w:multiLevelType w:val="hybridMultilevel"/>
    <w:tmpl w:val="10F023C0"/>
    <w:lvl w:ilvl="0" w:tplc="A2646A7C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E7479D"/>
    <w:multiLevelType w:val="hybridMultilevel"/>
    <w:tmpl w:val="496C32FE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" w15:restartNumberingAfterBreak="0">
    <w:nsid w:val="3C8576EA"/>
    <w:multiLevelType w:val="multilevel"/>
    <w:tmpl w:val="9716C86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hAnsi="Times New Roman" w:cs="Times New Roman" w:hint="default"/>
        <w:b w:val="0"/>
        <w:bCs w:val="0"/>
        <w:sz w:val="20"/>
        <w:szCs w:val="2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41A64FC8"/>
    <w:multiLevelType w:val="hybridMultilevel"/>
    <w:tmpl w:val="FDA68116"/>
    <w:lvl w:ilvl="0" w:tplc="834A3C6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2D0E20"/>
    <w:multiLevelType w:val="hybridMultilevel"/>
    <w:tmpl w:val="394695B8"/>
    <w:lvl w:ilvl="0" w:tplc="4A0ACB12">
      <w:start w:val="1"/>
      <w:numFmt w:val="lowerLetter"/>
      <w:lvlText w:val="%1)"/>
      <w:lvlJc w:val="left"/>
      <w:pPr>
        <w:ind w:left="720" w:hanging="360"/>
      </w:pPr>
    </w:lvl>
    <w:lvl w:ilvl="1" w:tplc="04E62B3A">
      <w:start w:val="1"/>
      <w:numFmt w:val="lowerLetter"/>
      <w:lvlText w:val="%2)"/>
      <w:lvlJc w:val="left"/>
      <w:pPr>
        <w:ind w:left="720" w:hanging="360"/>
      </w:pPr>
    </w:lvl>
    <w:lvl w:ilvl="2" w:tplc="A808DB02">
      <w:start w:val="1"/>
      <w:numFmt w:val="lowerLetter"/>
      <w:lvlText w:val="%3)"/>
      <w:lvlJc w:val="left"/>
      <w:pPr>
        <w:ind w:left="720" w:hanging="360"/>
      </w:pPr>
    </w:lvl>
    <w:lvl w:ilvl="3" w:tplc="A0160A4A">
      <w:start w:val="1"/>
      <w:numFmt w:val="lowerLetter"/>
      <w:lvlText w:val="%4)"/>
      <w:lvlJc w:val="left"/>
      <w:pPr>
        <w:ind w:left="720" w:hanging="360"/>
      </w:pPr>
    </w:lvl>
    <w:lvl w:ilvl="4" w:tplc="14FAFD16">
      <w:start w:val="1"/>
      <w:numFmt w:val="lowerLetter"/>
      <w:lvlText w:val="%5)"/>
      <w:lvlJc w:val="left"/>
      <w:pPr>
        <w:ind w:left="720" w:hanging="360"/>
      </w:pPr>
    </w:lvl>
    <w:lvl w:ilvl="5" w:tplc="DA3E24C2">
      <w:start w:val="1"/>
      <w:numFmt w:val="lowerLetter"/>
      <w:lvlText w:val="%6)"/>
      <w:lvlJc w:val="left"/>
      <w:pPr>
        <w:ind w:left="720" w:hanging="360"/>
      </w:pPr>
    </w:lvl>
    <w:lvl w:ilvl="6" w:tplc="9120F11E">
      <w:start w:val="1"/>
      <w:numFmt w:val="lowerLetter"/>
      <w:lvlText w:val="%7)"/>
      <w:lvlJc w:val="left"/>
      <w:pPr>
        <w:ind w:left="720" w:hanging="360"/>
      </w:pPr>
    </w:lvl>
    <w:lvl w:ilvl="7" w:tplc="94749F5A">
      <w:start w:val="1"/>
      <w:numFmt w:val="lowerLetter"/>
      <w:lvlText w:val="%8)"/>
      <w:lvlJc w:val="left"/>
      <w:pPr>
        <w:ind w:left="720" w:hanging="360"/>
      </w:pPr>
    </w:lvl>
    <w:lvl w:ilvl="8" w:tplc="AB6852FE">
      <w:start w:val="1"/>
      <w:numFmt w:val="lowerLetter"/>
      <w:lvlText w:val="%9)"/>
      <w:lvlJc w:val="left"/>
      <w:pPr>
        <w:ind w:left="720" w:hanging="360"/>
      </w:pPr>
    </w:lvl>
  </w:abstractNum>
  <w:abstractNum w:abstractNumId="7" w15:restartNumberingAfterBreak="0">
    <w:nsid w:val="49C4183A"/>
    <w:multiLevelType w:val="hybridMultilevel"/>
    <w:tmpl w:val="1AD26F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AD693D"/>
    <w:multiLevelType w:val="multilevel"/>
    <w:tmpl w:val="CE5C14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59A90491"/>
    <w:multiLevelType w:val="multilevel"/>
    <w:tmpl w:val="CE5C14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5DD21ECD"/>
    <w:multiLevelType w:val="hybridMultilevel"/>
    <w:tmpl w:val="C8E6B36A"/>
    <w:lvl w:ilvl="0" w:tplc="04150017">
      <w:start w:val="1"/>
      <w:numFmt w:val="lowerLetter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1" w15:restartNumberingAfterBreak="0">
    <w:nsid w:val="5EDF5128"/>
    <w:multiLevelType w:val="hybridMultilevel"/>
    <w:tmpl w:val="71E4D1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CC3239"/>
    <w:multiLevelType w:val="hybridMultilevel"/>
    <w:tmpl w:val="47CA690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0733D4"/>
    <w:multiLevelType w:val="multilevel"/>
    <w:tmpl w:val="CE5C14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6C4B580D"/>
    <w:multiLevelType w:val="hybridMultilevel"/>
    <w:tmpl w:val="76BECB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1D22EB"/>
    <w:multiLevelType w:val="multilevel"/>
    <w:tmpl w:val="7304F104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79A44EFD"/>
    <w:multiLevelType w:val="multilevel"/>
    <w:tmpl w:val="CE5C14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7B7E6FD9"/>
    <w:multiLevelType w:val="hybridMultilevel"/>
    <w:tmpl w:val="CD6C64E2"/>
    <w:lvl w:ilvl="0" w:tplc="46A24018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63603898">
    <w:abstractNumId w:val="8"/>
  </w:num>
  <w:num w:numId="2" w16cid:durableId="908227085">
    <w:abstractNumId w:val="9"/>
  </w:num>
  <w:num w:numId="3" w16cid:durableId="617106147">
    <w:abstractNumId w:val="4"/>
  </w:num>
  <w:num w:numId="4" w16cid:durableId="1801806027">
    <w:abstractNumId w:val="13"/>
  </w:num>
  <w:num w:numId="5" w16cid:durableId="1894536907">
    <w:abstractNumId w:val="10"/>
  </w:num>
  <w:num w:numId="6" w16cid:durableId="1074086511">
    <w:abstractNumId w:val="2"/>
  </w:num>
  <w:num w:numId="7" w16cid:durableId="1459492728">
    <w:abstractNumId w:val="17"/>
  </w:num>
  <w:num w:numId="8" w16cid:durableId="822156991">
    <w:abstractNumId w:val="16"/>
  </w:num>
  <w:num w:numId="9" w16cid:durableId="1319502995">
    <w:abstractNumId w:val="15"/>
  </w:num>
  <w:num w:numId="10" w16cid:durableId="815223373">
    <w:abstractNumId w:val="1"/>
  </w:num>
  <w:num w:numId="11" w16cid:durableId="967666381">
    <w:abstractNumId w:val="12"/>
  </w:num>
  <w:num w:numId="12" w16cid:durableId="1517621024">
    <w:abstractNumId w:val="7"/>
  </w:num>
  <w:num w:numId="13" w16cid:durableId="762797534">
    <w:abstractNumId w:val="14"/>
  </w:num>
  <w:num w:numId="14" w16cid:durableId="859508147">
    <w:abstractNumId w:val="11"/>
  </w:num>
  <w:num w:numId="15" w16cid:durableId="1244339166">
    <w:abstractNumId w:val="0"/>
  </w:num>
  <w:num w:numId="16" w16cid:durableId="1542859102">
    <w:abstractNumId w:val="5"/>
  </w:num>
  <w:num w:numId="17" w16cid:durableId="320353188">
    <w:abstractNumId w:val="3"/>
  </w:num>
  <w:num w:numId="18" w16cid:durableId="37897379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560"/>
    <w:rsid w:val="00004013"/>
    <w:rsid w:val="00004151"/>
    <w:rsid w:val="00005880"/>
    <w:rsid w:val="00006A15"/>
    <w:rsid w:val="00011344"/>
    <w:rsid w:val="00012D25"/>
    <w:rsid w:val="00014031"/>
    <w:rsid w:val="000153AC"/>
    <w:rsid w:val="000158EF"/>
    <w:rsid w:val="00016CEF"/>
    <w:rsid w:val="00017DA7"/>
    <w:rsid w:val="00030447"/>
    <w:rsid w:val="00031C3D"/>
    <w:rsid w:val="000321AA"/>
    <w:rsid w:val="00032373"/>
    <w:rsid w:val="00032A01"/>
    <w:rsid w:val="00032E20"/>
    <w:rsid w:val="00035F13"/>
    <w:rsid w:val="00036005"/>
    <w:rsid w:val="000362B4"/>
    <w:rsid w:val="00037E3D"/>
    <w:rsid w:val="0004148E"/>
    <w:rsid w:val="0004277E"/>
    <w:rsid w:val="000432BE"/>
    <w:rsid w:val="000436A2"/>
    <w:rsid w:val="0004423A"/>
    <w:rsid w:val="00045006"/>
    <w:rsid w:val="00046BC9"/>
    <w:rsid w:val="0004714F"/>
    <w:rsid w:val="000530A5"/>
    <w:rsid w:val="00053AAB"/>
    <w:rsid w:val="000549C2"/>
    <w:rsid w:val="000554E5"/>
    <w:rsid w:val="00055A75"/>
    <w:rsid w:val="00056031"/>
    <w:rsid w:val="0005638A"/>
    <w:rsid w:val="00060064"/>
    <w:rsid w:val="000632C9"/>
    <w:rsid w:val="00065870"/>
    <w:rsid w:val="00067075"/>
    <w:rsid w:val="00070DB6"/>
    <w:rsid w:val="00072340"/>
    <w:rsid w:val="0007274E"/>
    <w:rsid w:val="00074CFC"/>
    <w:rsid w:val="00074F59"/>
    <w:rsid w:val="0007572C"/>
    <w:rsid w:val="00077259"/>
    <w:rsid w:val="00081611"/>
    <w:rsid w:val="00081BD9"/>
    <w:rsid w:val="000828AF"/>
    <w:rsid w:val="00083175"/>
    <w:rsid w:val="00083289"/>
    <w:rsid w:val="00083719"/>
    <w:rsid w:val="00083F5F"/>
    <w:rsid w:val="0008541A"/>
    <w:rsid w:val="00085E89"/>
    <w:rsid w:val="000871A6"/>
    <w:rsid w:val="00090EC6"/>
    <w:rsid w:val="00095981"/>
    <w:rsid w:val="00095B9D"/>
    <w:rsid w:val="00095F4B"/>
    <w:rsid w:val="0009679D"/>
    <w:rsid w:val="000968B7"/>
    <w:rsid w:val="000A3FB2"/>
    <w:rsid w:val="000A456C"/>
    <w:rsid w:val="000A507C"/>
    <w:rsid w:val="000A5FB6"/>
    <w:rsid w:val="000A626B"/>
    <w:rsid w:val="000A6D83"/>
    <w:rsid w:val="000B1521"/>
    <w:rsid w:val="000B2405"/>
    <w:rsid w:val="000B33A5"/>
    <w:rsid w:val="000B3D34"/>
    <w:rsid w:val="000B4003"/>
    <w:rsid w:val="000B57E7"/>
    <w:rsid w:val="000B5942"/>
    <w:rsid w:val="000B6E0C"/>
    <w:rsid w:val="000B74CB"/>
    <w:rsid w:val="000C4336"/>
    <w:rsid w:val="000C5476"/>
    <w:rsid w:val="000C5D0D"/>
    <w:rsid w:val="000D0532"/>
    <w:rsid w:val="000D1537"/>
    <w:rsid w:val="000D1AC1"/>
    <w:rsid w:val="000D278B"/>
    <w:rsid w:val="000D3AFD"/>
    <w:rsid w:val="000D62D3"/>
    <w:rsid w:val="000D6C5B"/>
    <w:rsid w:val="000D6E31"/>
    <w:rsid w:val="000D7C1E"/>
    <w:rsid w:val="000E46F4"/>
    <w:rsid w:val="000F0412"/>
    <w:rsid w:val="000F2B9B"/>
    <w:rsid w:val="000F6688"/>
    <w:rsid w:val="000F68FE"/>
    <w:rsid w:val="000F6A88"/>
    <w:rsid w:val="00100F5E"/>
    <w:rsid w:val="001019F9"/>
    <w:rsid w:val="001029B3"/>
    <w:rsid w:val="00104142"/>
    <w:rsid w:val="00104B0B"/>
    <w:rsid w:val="00104DC7"/>
    <w:rsid w:val="00105844"/>
    <w:rsid w:val="00105A4E"/>
    <w:rsid w:val="0010600E"/>
    <w:rsid w:val="0010749C"/>
    <w:rsid w:val="00115F9E"/>
    <w:rsid w:val="00122C86"/>
    <w:rsid w:val="00123689"/>
    <w:rsid w:val="0012638D"/>
    <w:rsid w:val="00126625"/>
    <w:rsid w:val="0012779C"/>
    <w:rsid w:val="0012787C"/>
    <w:rsid w:val="001303DC"/>
    <w:rsid w:val="0013139C"/>
    <w:rsid w:val="001332C2"/>
    <w:rsid w:val="00133C8D"/>
    <w:rsid w:val="0013513C"/>
    <w:rsid w:val="00135F11"/>
    <w:rsid w:val="00136762"/>
    <w:rsid w:val="00141E98"/>
    <w:rsid w:val="0014301C"/>
    <w:rsid w:val="0014331D"/>
    <w:rsid w:val="00145274"/>
    <w:rsid w:val="00150FCF"/>
    <w:rsid w:val="00151B72"/>
    <w:rsid w:val="00151BE1"/>
    <w:rsid w:val="00151D9E"/>
    <w:rsid w:val="001544A0"/>
    <w:rsid w:val="00154E29"/>
    <w:rsid w:val="001559E7"/>
    <w:rsid w:val="00155EC0"/>
    <w:rsid w:val="001567EA"/>
    <w:rsid w:val="001578E7"/>
    <w:rsid w:val="00157C65"/>
    <w:rsid w:val="001605D7"/>
    <w:rsid w:val="00161D82"/>
    <w:rsid w:val="001626A4"/>
    <w:rsid w:val="0016374A"/>
    <w:rsid w:val="00164A8D"/>
    <w:rsid w:val="00165523"/>
    <w:rsid w:val="0017211B"/>
    <w:rsid w:val="00172C00"/>
    <w:rsid w:val="00172F33"/>
    <w:rsid w:val="00173D3F"/>
    <w:rsid w:val="00176AE3"/>
    <w:rsid w:val="00177493"/>
    <w:rsid w:val="0018076B"/>
    <w:rsid w:val="00180D1A"/>
    <w:rsid w:val="00182A3C"/>
    <w:rsid w:val="001844BC"/>
    <w:rsid w:val="001851F8"/>
    <w:rsid w:val="001869D7"/>
    <w:rsid w:val="0018752D"/>
    <w:rsid w:val="00187814"/>
    <w:rsid w:val="001901F5"/>
    <w:rsid w:val="00190461"/>
    <w:rsid w:val="0019197B"/>
    <w:rsid w:val="001939DF"/>
    <w:rsid w:val="00194617"/>
    <w:rsid w:val="001946CB"/>
    <w:rsid w:val="001964C4"/>
    <w:rsid w:val="00197005"/>
    <w:rsid w:val="001A18DE"/>
    <w:rsid w:val="001A2596"/>
    <w:rsid w:val="001A5237"/>
    <w:rsid w:val="001A630D"/>
    <w:rsid w:val="001A7D5A"/>
    <w:rsid w:val="001B0E04"/>
    <w:rsid w:val="001B16A1"/>
    <w:rsid w:val="001B35D2"/>
    <w:rsid w:val="001B4C1B"/>
    <w:rsid w:val="001B68C0"/>
    <w:rsid w:val="001B7542"/>
    <w:rsid w:val="001B76C5"/>
    <w:rsid w:val="001C004F"/>
    <w:rsid w:val="001C02C0"/>
    <w:rsid w:val="001C15A6"/>
    <w:rsid w:val="001C3932"/>
    <w:rsid w:val="001C4395"/>
    <w:rsid w:val="001C45DB"/>
    <w:rsid w:val="001C5F43"/>
    <w:rsid w:val="001C75D8"/>
    <w:rsid w:val="001D1B35"/>
    <w:rsid w:val="001D38F9"/>
    <w:rsid w:val="001D57D1"/>
    <w:rsid w:val="001D6DFB"/>
    <w:rsid w:val="001E0E54"/>
    <w:rsid w:val="001E1CA9"/>
    <w:rsid w:val="001E2C43"/>
    <w:rsid w:val="001E3A1F"/>
    <w:rsid w:val="001E417E"/>
    <w:rsid w:val="001E4528"/>
    <w:rsid w:val="001E68A8"/>
    <w:rsid w:val="001F51D5"/>
    <w:rsid w:val="001F5D94"/>
    <w:rsid w:val="001F712D"/>
    <w:rsid w:val="00200550"/>
    <w:rsid w:val="002038A1"/>
    <w:rsid w:val="00204A52"/>
    <w:rsid w:val="00204A6A"/>
    <w:rsid w:val="00205573"/>
    <w:rsid w:val="00205686"/>
    <w:rsid w:val="00205FBF"/>
    <w:rsid w:val="00212005"/>
    <w:rsid w:val="002125F6"/>
    <w:rsid w:val="00212807"/>
    <w:rsid w:val="002132F5"/>
    <w:rsid w:val="00214A0B"/>
    <w:rsid w:val="00214F80"/>
    <w:rsid w:val="00215AC8"/>
    <w:rsid w:val="00220AAE"/>
    <w:rsid w:val="00220BF7"/>
    <w:rsid w:val="00226E3C"/>
    <w:rsid w:val="00227946"/>
    <w:rsid w:val="00232774"/>
    <w:rsid w:val="00233DFF"/>
    <w:rsid w:val="00233F4E"/>
    <w:rsid w:val="00235485"/>
    <w:rsid w:val="00235DE9"/>
    <w:rsid w:val="00237BDE"/>
    <w:rsid w:val="00237D3C"/>
    <w:rsid w:val="00240088"/>
    <w:rsid w:val="00243D79"/>
    <w:rsid w:val="00243E4E"/>
    <w:rsid w:val="00245C46"/>
    <w:rsid w:val="002467A0"/>
    <w:rsid w:val="00246D05"/>
    <w:rsid w:val="00251F3F"/>
    <w:rsid w:val="00251FC9"/>
    <w:rsid w:val="00252958"/>
    <w:rsid w:val="002551D7"/>
    <w:rsid w:val="0025617D"/>
    <w:rsid w:val="0025798F"/>
    <w:rsid w:val="002626B6"/>
    <w:rsid w:val="002635D6"/>
    <w:rsid w:val="0026562F"/>
    <w:rsid w:val="002729FF"/>
    <w:rsid w:val="00276019"/>
    <w:rsid w:val="002764D7"/>
    <w:rsid w:val="00276920"/>
    <w:rsid w:val="0028330F"/>
    <w:rsid w:val="00286939"/>
    <w:rsid w:val="00287530"/>
    <w:rsid w:val="00290805"/>
    <w:rsid w:val="002908D9"/>
    <w:rsid w:val="00294480"/>
    <w:rsid w:val="00294C06"/>
    <w:rsid w:val="00296F57"/>
    <w:rsid w:val="002A35BE"/>
    <w:rsid w:val="002A6F15"/>
    <w:rsid w:val="002A7745"/>
    <w:rsid w:val="002A77C9"/>
    <w:rsid w:val="002B2709"/>
    <w:rsid w:val="002B3AD8"/>
    <w:rsid w:val="002B3DCB"/>
    <w:rsid w:val="002B48F6"/>
    <w:rsid w:val="002B625C"/>
    <w:rsid w:val="002B71D5"/>
    <w:rsid w:val="002B796C"/>
    <w:rsid w:val="002B7F76"/>
    <w:rsid w:val="002C0CAA"/>
    <w:rsid w:val="002C1D65"/>
    <w:rsid w:val="002C6246"/>
    <w:rsid w:val="002C6358"/>
    <w:rsid w:val="002C7612"/>
    <w:rsid w:val="002C7911"/>
    <w:rsid w:val="002C7AF5"/>
    <w:rsid w:val="002D0C00"/>
    <w:rsid w:val="002D154C"/>
    <w:rsid w:val="002D1EC1"/>
    <w:rsid w:val="002D241D"/>
    <w:rsid w:val="002D2655"/>
    <w:rsid w:val="002D4B53"/>
    <w:rsid w:val="002D5B3D"/>
    <w:rsid w:val="002D614C"/>
    <w:rsid w:val="002D7748"/>
    <w:rsid w:val="002E2FAA"/>
    <w:rsid w:val="002E3FC5"/>
    <w:rsid w:val="002E4F9E"/>
    <w:rsid w:val="002F04FC"/>
    <w:rsid w:val="002F07E6"/>
    <w:rsid w:val="002F2036"/>
    <w:rsid w:val="002F2C20"/>
    <w:rsid w:val="002F2E13"/>
    <w:rsid w:val="002F4BBC"/>
    <w:rsid w:val="002F4D43"/>
    <w:rsid w:val="002F5B4E"/>
    <w:rsid w:val="002F5FEE"/>
    <w:rsid w:val="002F615D"/>
    <w:rsid w:val="00301498"/>
    <w:rsid w:val="00303C40"/>
    <w:rsid w:val="003055B5"/>
    <w:rsid w:val="003060C6"/>
    <w:rsid w:val="00313770"/>
    <w:rsid w:val="00313993"/>
    <w:rsid w:val="00317350"/>
    <w:rsid w:val="00317F56"/>
    <w:rsid w:val="0032025F"/>
    <w:rsid w:val="00323350"/>
    <w:rsid w:val="00323A57"/>
    <w:rsid w:val="00323E9A"/>
    <w:rsid w:val="003256BC"/>
    <w:rsid w:val="00327285"/>
    <w:rsid w:val="003278F7"/>
    <w:rsid w:val="00327A30"/>
    <w:rsid w:val="00327C66"/>
    <w:rsid w:val="00330875"/>
    <w:rsid w:val="00332918"/>
    <w:rsid w:val="00337F17"/>
    <w:rsid w:val="00341E3E"/>
    <w:rsid w:val="00342539"/>
    <w:rsid w:val="00346AF8"/>
    <w:rsid w:val="00347E5F"/>
    <w:rsid w:val="003506F9"/>
    <w:rsid w:val="00350E4B"/>
    <w:rsid w:val="00354A60"/>
    <w:rsid w:val="003561C9"/>
    <w:rsid w:val="00357144"/>
    <w:rsid w:val="00360660"/>
    <w:rsid w:val="00362C4C"/>
    <w:rsid w:val="0036424B"/>
    <w:rsid w:val="0036594A"/>
    <w:rsid w:val="00371D5F"/>
    <w:rsid w:val="0037282D"/>
    <w:rsid w:val="00374294"/>
    <w:rsid w:val="00375A8B"/>
    <w:rsid w:val="003771C8"/>
    <w:rsid w:val="00384586"/>
    <w:rsid w:val="00385335"/>
    <w:rsid w:val="0038668A"/>
    <w:rsid w:val="003873A0"/>
    <w:rsid w:val="0038741E"/>
    <w:rsid w:val="00391F75"/>
    <w:rsid w:val="003940BD"/>
    <w:rsid w:val="003A0CB6"/>
    <w:rsid w:val="003A1045"/>
    <w:rsid w:val="003A268F"/>
    <w:rsid w:val="003A2BBB"/>
    <w:rsid w:val="003A3748"/>
    <w:rsid w:val="003A6A07"/>
    <w:rsid w:val="003B08FA"/>
    <w:rsid w:val="003B0CEA"/>
    <w:rsid w:val="003B2D8A"/>
    <w:rsid w:val="003B3345"/>
    <w:rsid w:val="003B4B08"/>
    <w:rsid w:val="003B5738"/>
    <w:rsid w:val="003B6E3F"/>
    <w:rsid w:val="003B7875"/>
    <w:rsid w:val="003C1C8E"/>
    <w:rsid w:val="003C1E8E"/>
    <w:rsid w:val="003C23A2"/>
    <w:rsid w:val="003C3434"/>
    <w:rsid w:val="003C78A7"/>
    <w:rsid w:val="003C7FCA"/>
    <w:rsid w:val="003D088B"/>
    <w:rsid w:val="003D40FF"/>
    <w:rsid w:val="003D420B"/>
    <w:rsid w:val="003D42A0"/>
    <w:rsid w:val="003D5ACA"/>
    <w:rsid w:val="003D6615"/>
    <w:rsid w:val="003E058D"/>
    <w:rsid w:val="003E1610"/>
    <w:rsid w:val="003E4E19"/>
    <w:rsid w:val="003E4FF6"/>
    <w:rsid w:val="003E526F"/>
    <w:rsid w:val="003E569D"/>
    <w:rsid w:val="003E618B"/>
    <w:rsid w:val="003E6A68"/>
    <w:rsid w:val="003F1226"/>
    <w:rsid w:val="003F2DFB"/>
    <w:rsid w:val="003F3217"/>
    <w:rsid w:val="003F6A9E"/>
    <w:rsid w:val="003F6E02"/>
    <w:rsid w:val="003F7B97"/>
    <w:rsid w:val="004002FB"/>
    <w:rsid w:val="0040223A"/>
    <w:rsid w:val="00405B38"/>
    <w:rsid w:val="00406378"/>
    <w:rsid w:val="00410E52"/>
    <w:rsid w:val="00411A46"/>
    <w:rsid w:val="00411C59"/>
    <w:rsid w:val="00412682"/>
    <w:rsid w:val="004143E9"/>
    <w:rsid w:val="0041488B"/>
    <w:rsid w:val="00414E26"/>
    <w:rsid w:val="0041545F"/>
    <w:rsid w:val="00415679"/>
    <w:rsid w:val="00415AE9"/>
    <w:rsid w:val="004178CD"/>
    <w:rsid w:val="0042026E"/>
    <w:rsid w:val="00420BC1"/>
    <w:rsid w:val="00420E23"/>
    <w:rsid w:val="00421391"/>
    <w:rsid w:val="0042455C"/>
    <w:rsid w:val="00427630"/>
    <w:rsid w:val="00427C49"/>
    <w:rsid w:val="00431FF1"/>
    <w:rsid w:val="004348F0"/>
    <w:rsid w:val="00436450"/>
    <w:rsid w:val="0043709E"/>
    <w:rsid w:val="00437501"/>
    <w:rsid w:val="004377CE"/>
    <w:rsid w:val="00441B2E"/>
    <w:rsid w:val="00441EEE"/>
    <w:rsid w:val="004444A6"/>
    <w:rsid w:val="00444F53"/>
    <w:rsid w:val="004459BA"/>
    <w:rsid w:val="00445C80"/>
    <w:rsid w:val="00447C42"/>
    <w:rsid w:val="004506CC"/>
    <w:rsid w:val="0045168A"/>
    <w:rsid w:val="00451BE5"/>
    <w:rsid w:val="00452151"/>
    <w:rsid w:val="00453DA4"/>
    <w:rsid w:val="0046215C"/>
    <w:rsid w:val="00462310"/>
    <w:rsid w:val="00466FFE"/>
    <w:rsid w:val="00470824"/>
    <w:rsid w:val="00470AF8"/>
    <w:rsid w:val="00473521"/>
    <w:rsid w:val="00474501"/>
    <w:rsid w:val="004746AD"/>
    <w:rsid w:val="00474B9F"/>
    <w:rsid w:val="00474E5F"/>
    <w:rsid w:val="00475788"/>
    <w:rsid w:val="00476EE8"/>
    <w:rsid w:val="00477850"/>
    <w:rsid w:val="00477A99"/>
    <w:rsid w:val="00480777"/>
    <w:rsid w:val="00480813"/>
    <w:rsid w:val="00483644"/>
    <w:rsid w:val="00484096"/>
    <w:rsid w:val="00484D2A"/>
    <w:rsid w:val="00485E6B"/>
    <w:rsid w:val="00486368"/>
    <w:rsid w:val="00486C7A"/>
    <w:rsid w:val="00491560"/>
    <w:rsid w:val="004943AE"/>
    <w:rsid w:val="00494BBB"/>
    <w:rsid w:val="0049710C"/>
    <w:rsid w:val="004A00CC"/>
    <w:rsid w:val="004A0318"/>
    <w:rsid w:val="004A0537"/>
    <w:rsid w:val="004A1B03"/>
    <w:rsid w:val="004A2662"/>
    <w:rsid w:val="004A2684"/>
    <w:rsid w:val="004B0596"/>
    <w:rsid w:val="004B11B4"/>
    <w:rsid w:val="004B2778"/>
    <w:rsid w:val="004B2A4F"/>
    <w:rsid w:val="004B324A"/>
    <w:rsid w:val="004B64F8"/>
    <w:rsid w:val="004B6BBF"/>
    <w:rsid w:val="004C0A77"/>
    <w:rsid w:val="004C1FAA"/>
    <w:rsid w:val="004C226C"/>
    <w:rsid w:val="004C2A43"/>
    <w:rsid w:val="004C6726"/>
    <w:rsid w:val="004D018C"/>
    <w:rsid w:val="004D1295"/>
    <w:rsid w:val="004D1730"/>
    <w:rsid w:val="004D2004"/>
    <w:rsid w:val="004D3E05"/>
    <w:rsid w:val="004D441C"/>
    <w:rsid w:val="004D6CDA"/>
    <w:rsid w:val="004D7B0F"/>
    <w:rsid w:val="004E0F5E"/>
    <w:rsid w:val="004E13E1"/>
    <w:rsid w:val="004E18C7"/>
    <w:rsid w:val="004E2647"/>
    <w:rsid w:val="004E27BF"/>
    <w:rsid w:val="004E3D4D"/>
    <w:rsid w:val="004E5E88"/>
    <w:rsid w:val="004E7A70"/>
    <w:rsid w:val="004F113C"/>
    <w:rsid w:val="004F155F"/>
    <w:rsid w:val="004F1742"/>
    <w:rsid w:val="004F1E10"/>
    <w:rsid w:val="004F2D17"/>
    <w:rsid w:val="004F6FC4"/>
    <w:rsid w:val="0050008B"/>
    <w:rsid w:val="00500FFA"/>
    <w:rsid w:val="00504351"/>
    <w:rsid w:val="005049D6"/>
    <w:rsid w:val="00504BAD"/>
    <w:rsid w:val="00505604"/>
    <w:rsid w:val="005111C8"/>
    <w:rsid w:val="00512140"/>
    <w:rsid w:val="0051281D"/>
    <w:rsid w:val="00512C4C"/>
    <w:rsid w:val="00520C14"/>
    <w:rsid w:val="00525E02"/>
    <w:rsid w:val="00526B07"/>
    <w:rsid w:val="005274B3"/>
    <w:rsid w:val="00531567"/>
    <w:rsid w:val="00534681"/>
    <w:rsid w:val="00534AC9"/>
    <w:rsid w:val="00541665"/>
    <w:rsid w:val="00541E1B"/>
    <w:rsid w:val="00541F3C"/>
    <w:rsid w:val="00547C39"/>
    <w:rsid w:val="005513D8"/>
    <w:rsid w:val="005574B7"/>
    <w:rsid w:val="00557B9D"/>
    <w:rsid w:val="00560713"/>
    <w:rsid w:val="0056360A"/>
    <w:rsid w:val="00563639"/>
    <w:rsid w:val="0056739C"/>
    <w:rsid w:val="005707D9"/>
    <w:rsid w:val="00570DA0"/>
    <w:rsid w:val="00570FDF"/>
    <w:rsid w:val="00572065"/>
    <w:rsid w:val="005735F1"/>
    <w:rsid w:val="0057445A"/>
    <w:rsid w:val="005768A3"/>
    <w:rsid w:val="00576993"/>
    <w:rsid w:val="00576CE6"/>
    <w:rsid w:val="00581EF0"/>
    <w:rsid w:val="00583F62"/>
    <w:rsid w:val="00584F62"/>
    <w:rsid w:val="00585772"/>
    <w:rsid w:val="00585E0B"/>
    <w:rsid w:val="00594666"/>
    <w:rsid w:val="00594BF5"/>
    <w:rsid w:val="005A1106"/>
    <w:rsid w:val="005A14B6"/>
    <w:rsid w:val="005A223E"/>
    <w:rsid w:val="005A28E7"/>
    <w:rsid w:val="005A5206"/>
    <w:rsid w:val="005A6322"/>
    <w:rsid w:val="005A6602"/>
    <w:rsid w:val="005A6FC7"/>
    <w:rsid w:val="005A7AE3"/>
    <w:rsid w:val="005B2EC6"/>
    <w:rsid w:val="005B3681"/>
    <w:rsid w:val="005B6CC0"/>
    <w:rsid w:val="005B7F34"/>
    <w:rsid w:val="005C0C4B"/>
    <w:rsid w:val="005C17EE"/>
    <w:rsid w:val="005C3C2D"/>
    <w:rsid w:val="005C650C"/>
    <w:rsid w:val="005C691B"/>
    <w:rsid w:val="005D0A2C"/>
    <w:rsid w:val="005D2A3D"/>
    <w:rsid w:val="005D48E4"/>
    <w:rsid w:val="005D6468"/>
    <w:rsid w:val="005D6924"/>
    <w:rsid w:val="005D71FF"/>
    <w:rsid w:val="005E001E"/>
    <w:rsid w:val="005E0073"/>
    <w:rsid w:val="005E2726"/>
    <w:rsid w:val="005E3CE5"/>
    <w:rsid w:val="005E4FF9"/>
    <w:rsid w:val="005E527F"/>
    <w:rsid w:val="005E5777"/>
    <w:rsid w:val="005E7624"/>
    <w:rsid w:val="005F10EF"/>
    <w:rsid w:val="005F2589"/>
    <w:rsid w:val="005F41CA"/>
    <w:rsid w:val="005F4617"/>
    <w:rsid w:val="005F4B5F"/>
    <w:rsid w:val="005F55B1"/>
    <w:rsid w:val="005F5625"/>
    <w:rsid w:val="005F7EC0"/>
    <w:rsid w:val="00600A86"/>
    <w:rsid w:val="00601C1F"/>
    <w:rsid w:val="0060373B"/>
    <w:rsid w:val="00603AEB"/>
    <w:rsid w:val="006043D3"/>
    <w:rsid w:val="0060457E"/>
    <w:rsid w:val="0060468D"/>
    <w:rsid w:val="00604CD1"/>
    <w:rsid w:val="00604EBC"/>
    <w:rsid w:val="00605C2C"/>
    <w:rsid w:val="00606863"/>
    <w:rsid w:val="00610D0B"/>
    <w:rsid w:val="0061207A"/>
    <w:rsid w:val="00612863"/>
    <w:rsid w:val="0061402F"/>
    <w:rsid w:val="0061407D"/>
    <w:rsid w:val="0061756B"/>
    <w:rsid w:val="0062350E"/>
    <w:rsid w:val="006252F7"/>
    <w:rsid w:val="0063122E"/>
    <w:rsid w:val="0063370C"/>
    <w:rsid w:val="00636347"/>
    <w:rsid w:val="006412DC"/>
    <w:rsid w:val="00642612"/>
    <w:rsid w:val="00643004"/>
    <w:rsid w:val="006446DC"/>
    <w:rsid w:val="00644C94"/>
    <w:rsid w:val="006457B0"/>
    <w:rsid w:val="00647088"/>
    <w:rsid w:val="0065034F"/>
    <w:rsid w:val="006531FA"/>
    <w:rsid w:val="00654430"/>
    <w:rsid w:val="00661567"/>
    <w:rsid w:val="006625EA"/>
    <w:rsid w:val="00663736"/>
    <w:rsid w:val="006641AA"/>
    <w:rsid w:val="00664610"/>
    <w:rsid w:val="00665BA9"/>
    <w:rsid w:val="00665D22"/>
    <w:rsid w:val="00666327"/>
    <w:rsid w:val="00667562"/>
    <w:rsid w:val="00667A99"/>
    <w:rsid w:val="0067048F"/>
    <w:rsid w:val="00670C07"/>
    <w:rsid w:val="006731AC"/>
    <w:rsid w:val="0067419B"/>
    <w:rsid w:val="0067580D"/>
    <w:rsid w:val="00677116"/>
    <w:rsid w:val="0068030E"/>
    <w:rsid w:val="00681A0A"/>
    <w:rsid w:val="0068384E"/>
    <w:rsid w:val="006875EA"/>
    <w:rsid w:val="00687E7B"/>
    <w:rsid w:val="006900AD"/>
    <w:rsid w:val="00690A9F"/>
    <w:rsid w:val="0069297A"/>
    <w:rsid w:val="00692C68"/>
    <w:rsid w:val="00693414"/>
    <w:rsid w:val="0069438A"/>
    <w:rsid w:val="00694B30"/>
    <w:rsid w:val="00695BE9"/>
    <w:rsid w:val="00696F0F"/>
    <w:rsid w:val="006A085C"/>
    <w:rsid w:val="006A0D35"/>
    <w:rsid w:val="006A1234"/>
    <w:rsid w:val="006A1444"/>
    <w:rsid w:val="006A2F7B"/>
    <w:rsid w:val="006A5DFC"/>
    <w:rsid w:val="006A6FEB"/>
    <w:rsid w:val="006A73A6"/>
    <w:rsid w:val="006B095F"/>
    <w:rsid w:val="006B0E5C"/>
    <w:rsid w:val="006B1522"/>
    <w:rsid w:val="006B17AE"/>
    <w:rsid w:val="006B1F04"/>
    <w:rsid w:val="006B2EA2"/>
    <w:rsid w:val="006B34C5"/>
    <w:rsid w:val="006B377A"/>
    <w:rsid w:val="006B4BE8"/>
    <w:rsid w:val="006B5132"/>
    <w:rsid w:val="006B636C"/>
    <w:rsid w:val="006B6432"/>
    <w:rsid w:val="006B6CB4"/>
    <w:rsid w:val="006C05ED"/>
    <w:rsid w:val="006C61E3"/>
    <w:rsid w:val="006C666C"/>
    <w:rsid w:val="006C6941"/>
    <w:rsid w:val="006D1FE1"/>
    <w:rsid w:val="006D6895"/>
    <w:rsid w:val="006D7E70"/>
    <w:rsid w:val="006E1178"/>
    <w:rsid w:val="006E11F6"/>
    <w:rsid w:val="006E235A"/>
    <w:rsid w:val="006E5B2B"/>
    <w:rsid w:val="006E6A4D"/>
    <w:rsid w:val="006E7D66"/>
    <w:rsid w:val="006E7E48"/>
    <w:rsid w:val="006F14C6"/>
    <w:rsid w:val="006F15BC"/>
    <w:rsid w:val="006F6F42"/>
    <w:rsid w:val="006F700C"/>
    <w:rsid w:val="0070006B"/>
    <w:rsid w:val="00700ABA"/>
    <w:rsid w:val="00700DB5"/>
    <w:rsid w:val="007021AA"/>
    <w:rsid w:val="007049D0"/>
    <w:rsid w:val="00705D0E"/>
    <w:rsid w:val="00710EB5"/>
    <w:rsid w:val="00711D3B"/>
    <w:rsid w:val="00712223"/>
    <w:rsid w:val="007124FD"/>
    <w:rsid w:val="0071253A"/>
    <w:rsid w:val="007128A8"/>
    <w:rsid w:val="00715E60"/>
    <w:rsid w:val="00716D06"/>
    <w:rsid w:val="00721195"/>
    <w:rsid w:val="00721F00"/>
    <w:rsid w:val="007223E1"/>
    <w:rsid w:val="007228FA"/>
    <w:rsid w:val="007243BA"/>
    <w:rsid w:val="0072498B"/>
    <w:rsid w:val="007251CF"/>
    <w:rsid w:val="007265FB"/>
    <w:rsid w:val="00726843"/>
    <w:rsid w:val="007309B3"/>
    <w:rsid w:val="00731544"/>
    <w:rsid w:val="0073289B"/>
    <w:rsid w:val="00733D0D"/>
    <w:rsid w:val="007344A0"/>
    <w:rsid w:val="0073533D"/>
    <w:rsid w:val="0073598C"/>
    <w:rsid w:val="00735E94"/>
    <w:rsid w:val="007373CA"/>
    <w:rsid w:val="00740872"/>
    <w:rsid w:val="00740981"/>
    <w:rsid w:val="00740F85"/>
    <w:rsid w:val="007415B3"/>
    <w:rsid w:val="00750806"/>
    <w:rsid w:val="0075318A"/>
    <w:rsid w:val="00753782"/>
    <w:rsid w:val="00761248"/>
    <w:rsid w:val="00761F29"/>
    <w:rsid w:val="007659D0"/>
    <w:rsid w:val="007668A1"/>
    <w:rsid w:val="00767AC1"/>
    <w:rsid w:val="007707C2"/>
    <w:rsid w:val="0077082C"/>
    <w:rsid w:val="00772B8E"/>
    <w:rsid w:val="00774BBF"/>
    <w:rsid w:val="00775D73"/>
    <w:rsid w:val="007825DD"/>
    <w:rsid w:val="00783FE9"/>
    <w:rsid w:val="00784709"/>
    <w:rsid w:val="00784C0A"/>
    <w:rsid w:val="007869A4"/>
    <w:rsid w:val="0079031E"/>
    <w:rsid w:val="00790401"/>
    <w:rsid w:val="00790EAB"/>
    <w:rsid w:val="00793579"/>
    <w:rsid w:val="0079445D"/>
    <w:rsid w:val="00796478"/>
    <w:rsid w:val="007A000D"/>
    <w:rsid w:val="007A04CD"/>
    <w:rsid w:val="007A055A"/>
    <w:rsid w:val="007A326D"/>
    <w:rsid w:val="007A3CB3"/>
    <w:rsid w:val="007A45B7"/>
    <w:rsid w:val="007B54AF"/>
    <w:rsid w:val="007C23DB"/>
    <w:rsid w:val="007C39FE"/>
    <w:rsid w:val="007C3EAA"/>
    <w:rsid w:val="007C7AF0"/>
    <w:rsid w:val="007D04A1"/>
    <w:rsid w:val="007D0522"/>
    <w:rsid w:val="007D2F4F"/>
    <w:rsid w:val="007D36CB"/>
    <w:rsid w:val="007D3812"/>
    <w:rsid w:val="007D49E2"/>
    <w:rsid w:val="007D6E02"/>
    <w:rsid w:val="007D7474"/>
    <w:rsid w:val="007E05CB"/>
    <w:rsid w:val="007E18E4"/>
    <w:rsid w:val="007E2ABB"/>
    <w:rsid w:val="007E3BD7"/>
    <w:rsid w:val="007E64A1"/>
    <w:rsid w:val="007F30C3"/>
    <w:rsid w:val="007F36A1"/>
    <w:rsid w:val="007F4640"/>
    <w:rsid w:val="007F5C5F"/>
    <w:rsid w:val="007F665E"/>
    <w:rsid w:val="007F66D1"/>
    <w:rsid w:val="007F72A0"/>
    <w:rsid w:val="007F7FD1"/>
    <w:rsid w:val="00801309"/>
    <w:rsid w:val="008022FC"/>
    <w:rsid w:val="008024FA"/>
    <w:rsid w:val="00802583"/>
    <w:rsid w:val="00803D2C"/>
    <w:rsid w:val="008069D9"/>
    <w:rsid w:val="00806FA9"/>
    <w:rsid w:val="008121D5"/>
    <w:rsid w:val="00814B09"/>
    <w:rsid w:val="008150F7"/>
    <w:rsid w:val="00820787"/>
    <w:rsid w:val="00820859"/>
    <w:rsid w:val="008208E6"/>
    <w:rsid w:val="008215A6"/>
    <w:rsid w:val="00822F7D"/>
    <w:rsid w:val="008304EA"/>
    <w:rsid w:val="0083458A"/>
    <w:rsid w:val="008355E5"/>
    <w:rsid w:val="00835F11"/>
    <w:rsid w:val="00836EB5"/>
    <w:rsid w:val="0083724C"/>
    <w:rsid w:val="008378DF"/>
    <w:rsid w:val="00837D16"/>
    <w:rsid w:val="00842212"/>
    <w:rsid w:val="00842A1B"/>
    <w:rsid w:val="008445B6"/>
    <w:rsid w:val="0084705A"/>
    <w:rsid w:val="00850805"/>
    <w:rsid w:val="00853556"/>
    <w:rsid w:val="00855602"/>
    <w:rsid w:val="00856B08"/>
    <w:rsid w:val="00860160"/>
    <w:rsid w:val="008618A9"/>
    <w:rsid w:val="008626CB"/>
    <w:rsid w:val="008636AB"/>
    <w:rsid w:val="00866269"/>
    <w:rsid w:val="008716A9"/>
    <w:rsid w:val="00873397"/>
    <w:rsid w:val="00873CE2"/>
    <w:rsid w:val="008747F7"/>
    <w:rsid w:val="00874B30"/>
    <w:rsid w:val="008765FC"/>
    <w:rsid w:val="008773E1"/>
    <w:rsid w:val="00877BEE"/>
    <w:rsid w:val="00877F06"/>
    <w:rsid w:val="00881569"/>
    <w:rsid w:val="00882A4D"/>
    <w:rsid w:val="00883C9F"/>
    <w:rsid w:val="00883E28"/>
    <w:rsid w:val="00886B5E"/>
    <w:rsid w:val="00887CCC"/>
    <w:rsid w:val="0089004C"/>
    <w:rsid w:val="0089163A"/>
    <w:rsid w:val="0089173D"/>
    <w:rsid w:val="0089429B"/>
    <w:rsid w:val="00895DD1"/>
    <w:rsid w:val="008A0E5B"/>
    <w:rsid w:val="008A4552"/>
    <w:rsid w:val="008A7157"/>
    <w:rsid w:val="008B10E2"/>
    <w:rsid w:val="008B40A4"/>
    <w:rsid w:val="008B682B"/>
    <w:rsid w:val="008B6DAC"/>
    <w:rsid w:val="008C0CA9"/>
    <w:rsid w:val="008C12B8"/>
    <w:rsid w:val="008C2704"/>
    <w:rsid w:val="008C7541"/>
    <w:rsid w:val="008D17E3"/>
    <w:rsid w:val="008D1A7F"/>
    <w:rsid w:val="008D1CFF"/>
    <w:rsid w:val="008D2738"/>
    <w:rsid w:val="008D37B1"/>
    <w:rsid w:val="008D4CC6"/>
    <w:rsid w:val="008D5BB8"/>
    <w:rsid w:val="008D6A9E"/>
    <w:rsid w:val="008E0A05"/>
    <w:rsid w:val="008E1CFA"/>
    <w:rsid w:val="008E66FB"/>
    <w:rsid w:val="008E7BA8"/>
    <w:rsid w:val="008F030F"/>
    <w:rsid w:val="008F257E"/>
    <w:rsid w:val="008F39E0"/>
    <w:rsid w:val="008F4A85"/>
    <w:rsid w:val="008F59D9"/>
    <w:rsid w:val="008F6F48"/>
    <w:rsid w:val="00901AC6"/>
    <w:rsid w:val="009020E5"/>
    <w:rsid w:val="00902275"/>
    <w:rsid w:val="00902533"/>
    <w:rsid w:val="00904B9D"/>
    <w:rsid w:val="009051BD"/>
    <w:rsid w:val="009061AA"/>
    <w:rsid w:val="009062D8"/>
    <w:rsid w:val="00910BDE"/>
    <w:rsid w:val="00911820"/>
    <w:rsid w:val="00912541"/>
    <w:rsid w:val="009127DC"/>
    <w:rsid w:val="00912999"/>
    <w:rsid w:val="00914928"/>
    <w:rsid w:val="00923BB8"/>
    <w:rsid w:val="009241E8"/>
    <w:rsid w:val="00926142"/>
    <w:rsid w:val="00926450"/>
    <w:rsid w:val="00934D2B"/>
    <w:rsid w:val="00936B20"/>
    <w:rsid w:val="00936DC0"/>
    <w:rsid w:val="009371FC"/>
    <w:rsid w:val="009378EF"/>
    <w:rsid w:val="00940D1D"/>
    <w:rsid w:val="00940F6F"/>
    <w:rsid w:val="0094202B"/>
    <w:rsid w:val="009434CC"/>
    <w:rsid w:val="00943B65"/>
    <w:rsid w:val="00944BD7"/>
    <w:rsid w:val="00945580"/>
    <w:rsid w:val="00947AF5"/>
    <w:rsid w:val="00950827"/>
    <w:rsid w:val="009519FE"/>
    <w:rsid w:val="00951A52"/>
    <w:rsid w:val="0095398C"/>
    <w:rsid w:val="00954FC9"/>
    <w:rsid w:val="00955F84"/>
    <w:rsid w:val="00961AC7"/>
    <w:rsid w:val="009620ED"/>
    <w:rsid w:val="00962E1B"/>
    <w:rsid w:val="00962ECD"/>
    <w:rsid w:val="009643E6"/>
    <w:rsid w:val="009651C1"/>
    <w:rsid w:val="009652F7"/>
    <w:rsid w:val="00965503"/>
    <w:rsid w:val="00967BE3"/>
    <w:rsid w:val="0097135F"/>
    <w:rsid w:val="00971DF8"/>
    <w:rsid w:val="009810F3"/>
    <w:rsid w:val="00983321"/>
    <w:rsid w:val="009850C6"/>
    <w:rsid w:val="00987512"/>
    <w:rsid w:val="00991DB7"/>
    <w:rsid w:val="009930A1"/>
    <w:rsid w:val="009A1E00"/>
    <w:rsid w:val="009A4DC4"/>
    <w:rsid w:val="009B0628"/>
    <w:rsid w:val="009B0D11"/>
    <w:rsid w:val="009B3009"/>
    <w:rsid w:val="009B3A5A"/>
    <w:rsid w:val="009B5659"/>
    <w:rsid w:val="009B6A50"/>
    <w:rsid w:val="009B7087"/>
    <w:rsid w:val="009B74A9"/>
    <w:rsid w:val="009C0E61"/>
    <w:rsid w:val="009C1E94"/>
    <w:rsid w:val="009C1F6F"/>
    <w:rsid w:val="009C24A0"/>
    <w:rsid w:val="009C4870"/>
    <w:rsid w:val="009C53F4"/>
    <w:rsid w:val="009D0782"/>
    <w:rsid w:val="009D0EFE"/>
    <w:rsid w:val="009D1267"/>
    <w:rsid w:val="009D4479"/>
    <w:rsid w:val="009D4CDD"/>
    <w:rsid w:val="009D50F0"/>
    <w:rsid w:val="009D57FA"/>
    <w:rsid w:val="009D755B"/>
    <w:rsid w:val="009E35FB"/>
    <w:rsid w:val="009E3890"/>
    <w:rsid w:val="009E4479"/>
    <w:rsid w:val="009E710B"/>
    <w:rsid w:val="009E7864"/>
    <w:rsid w:val="009F182E"/>
    <w:rsid w:val="009F216C"/>
    <w:rsid w:val="009F2BBA"/>
    <w:rsid w:val="009F3095"/>
    <w:rsid w:val="009F38A3"/>
    <w:rsid w:val="009F4402"/>
    <w:rsid w:val="009F44AF"/>
    <w:rsid w:val="009F5AF9"/>
    <w:rsid w:val="009F750C"/>
    <w:rsid w:val="009F7DD3"/>
    <w:rsid w:val="00A00694"/>
    <w:rsid w:val="00A01A11"/>
    <w:rsid w:val="00A025D6"/>
    <w:rsid w:val="00A0274F"/>
    <w:rsid w:val="00A02CCB"/>
    <w:rsid w:val="00A046F1"/>
    <w:rsid w:val="00A0532A"/>
    <w:rsid w:val="00A067A1"/>
    <w:rsid w:val="00A068D0"/>
    <w:rsid w:val="00A06AAE"/>
    <w:rsid w:val="00A11E82"/>
    <w:rsid w:val="00A13AB5"/>
    <w:rsid w:val="00A15C0B"/>
    <w:rsid w:val="00A17720"/>
    <w:rsid w:val="00A21288"/>
    <w:rsid w:val="00A23187"/>
    <w:rsid w:val="00A2457C"/>
    <w:rsid w:val="00A30C2F"/>
    <w:rsid w:val="00A31626"/>
    <w:rsid w:val="00A33BD9"/>
    <w:rsid w:val="00A34B18"/>
    <w:rsid w:val="00A34CD5"/>
    <w:rsid w:val="00A377C6"/>
    <w:rsid w:val="00A40059"/>
    <w:rsid w:val="00A41BAA"/>
    <w:rsid w:val="00A421B4"/>
    <w:rsid w:val="00A434AA"/>
    <w:rsid w:val="00A450CD"/>
    <w:rsid w:val="00A45630"/>
    <w:rsid w:val="00A468DF"/>
    <w:rsid w:val="00A4752C"/>
    <w:rsid w:val="00A5214A"/>
    <w:rsid w:val="00A52981"/>
    <w:rsid w:val="00A54CC0"/>
    <w:rsid w:val="00A55094"/>
    <w:rsid w:val="00A5546E"/>
    <w:rsid w:val="00A6069B"/>
    <w:rsid w:val="00A609BC"/>
    <w:rsid w:val="00A61C4E"/>
    <w:rsid w:val="00A6366E"/>
    <w:rsid w:val="00A66818"/>
    <w:rsid w:val="00A67592"/>
    <w:rsid w:val="00A71A46"/>
    <w:rsid w:val="00A77850"/>
    <w:rsid w:val="00A80653"/>
    <w:rsid w:val="00A83487"/>
    <w:rsid w:val="00A859E2"/>
    <w:rsid w:val="00A862A6"/>
    <w:rsid w:val="00A86C91"/>
    <w:rsid w:val="00A922B0"/>
    <w:rsid w:val="00A94966"/>
    <w:rsid w:val="00A94D35"/>
    <w:rsid w:val="00AA030C"/>
    <w:rsid w:val="00AA1E28"/>
    <w:rsid w:val="00AA26EC"/>
    <w:rsid w:val="00AA2CE1"/>
    <w:rsid w:val="00AA2E29"/>
    <w:rsid w:val="00AA3874"/>
    <w:rsid w:val="00AA4FA6"/>
    <w:rsid w:val="00AA5B79"/>
    <w:rsid w:val="00AA7452"/>
    <w:rsid w:val="00AB158C"/>
    <w:rsid w:val="00AB3541"/>
    <w:rsid w:val="00AB3DCF"/>
    <w:rsid w:val="00AB4419"/>
    <w:rsid w:val="00AB64ED"/>
    <w:rsid w:val="00AB65A4"/>
    <w:rsid w:val="00AC105D"/>
    <w:rsid w:val="00AC16F2"/>
    <w:rsid w:val="00AC2367"/>
    <w:rsid w:val="00AC27D4"/>
    <w:rsid w:val="00AC3539"/>
    <w:rsid w:val="00AC4E77"/>
    <w:rsid w:val="00AC6DEA"/>
    <w:rsid w:val="00AC71CE"/>
    <w:rsid w:val="00AC738E"/>
    <w:rsid w:val="00AC7851"/>
    <w:rsid w:val="00AD2026"/>
    <w:rsid w:val="00AD41CB"/>
    <w:rsid w:val="00AD4E22"/>
    <w:rsid w:val="00AD5A4F"/>
    <w:rsid w:val="00AE001B"/>
    <w:rsid w:val="00AE1199"/>
    <w:rsid w:val="00AE27A4"/>
    <w:rsid w:val="00AE64B8"/>
    <w:rsid w:val="00AF079D"/>
    <w:rsid w:val="00AF2629"/>
    <w:rsid w:val="00AF3483"/>
    <w:rsid w:val="00AF42B5"/>
    <w:rsid w:val="00AF5B72"/>
    <w:rsid w:val="00AF78BD"/>
    <w:rsid w:val="00B019C7"/>
    <w:rsid w:val="00B02A96"/>
    <w:rsid w:val="00B03F47"/>
    <w:rsid w:val="00B06EC2"/>
    <w:rsid w:val="00B10952"/>
    <w:rsid w:val="00B11D98"/>
    <w:rsid w:val="00B13959"/>
    <w:rsid w:val="00B153AB"/>
    <w:rsid w:val="00B17670"/>
    <w:rsid w:val="00B17B57"/>
    <w:rsid w:val="00B220DF"/>
    <w:rsid w:val="00B2245C"/>
    <w:rsid w:val="00B23D65"/>
    <w:rsid w:val="00B2401D"/>
    <w:rsid w:val="00B24952"/>
    <w:rsid w:val="00B260D7"/>
    <w:rsid w:val="00B2718A"/>
    <w:rsid w:val="00B31B9C"/>
    <w:rsid w:val="00B321A9"/>
    <w:rsid w:val="00B34309"/>
    <w:rsid w:val="00B40881"/>
    <w:rsid w:val="00B4143E"/>
    <w:rsid w:val="00B433F1"/>
    <w:rsid w:val="00B45B42"/>
    <w:rsid w:val="00B477E7"/>
    <w:rsid w:val="00B47AD3"/>
    <w:rsid w:val="00B53AA1"/>
    <w:rsid w:val="00B54A2E"/>
    <w:rsid w:val="00B55C73"/>
    <w:rsid w:val="00B55E11"/>
    <w:rsid w:val="00B56B57"/>
    <w:rsid w:val="00B63D2C"/>
    <w:rsid w:val="00B66538"/>
    <w:rsid w:val="00B66FAE"/>
    <w:rsid w:val="00B6788E"/>
    <w:rsid w:val="00B73F70"/>
    <w:rsid w:val="00B74617"/>
    <w:rsid w:val="00B76430"/>
    <w:rsid w:val="00B775E6"/>
    <w:rsid w:val="00B845E7"/>
    <w:rsid w:val="00B84F02"/>
    <w:rsid w:val="00B85DA3"/>
    <w:rsid w:val="00B86DD6"/>
    <w:rsid w:val="00B874E8"/>
    <w:rsid w:val="00B91293"/>
    <w:rsid w:val="00B92CB9"/>
    <w:rsid w:val="00B93174"/>
    <w:rsid w:val="00B93F81"/>
    <w:rsid w:val="00B95224"/>
    <w:rsid w:val="00B95657"/>
    <w:rsid w:val="00BA0DD7"/>
    <w:rsid w:val="00BA2B13"/>
    <w:rsid w:val="00BA3747"/>
    <w:rsid w:val="00BA6A5F"/>
    <w:rsid w:val="00BB0A3B"/>
    <w:rsid w:val="00BB33FB"/>
    <w:rsid w:val="00BB4173"/>
    <w:rsid w:val="00BC0110"/>
    <w:rsid w:val="00BC0503"/>
    <w:rsid w:val="00BC099D"/>
    <w:rsid w:val="00BC2F08"/>
    <w:rsid w:val="00BC5824"/>
    <w:rsid w:val="00BC5EEA"/>
    <w:rsid w:val="00BC635B"/>
    <w:rsid w:val="00BC7B62"/>
    <w:rsid w:val="00BD494B"/>
    <w:rsid w:val="00BD4D34"/>
    <w:rsid w:val="00BD7808"/>
    <w:rsid w:val="00BE01FF"/>
    <w:rsid w:val="00BE3676"/>
    <w:rsid w:val="00BE4901"/>
    <w:rsid w:val="00BE5454"/>
    <w:rsid w:val="00BE6F19"/>
    <w:rsid w:val="00BE7D2B"/>
    <w:rsid w:val="00BF25A1"/>
    <w:rsid w:val="00BF28B7"/>
    <w:rsid w:val="00BF3005"/>
    <w:rsid w:val="00BF356A"/>
    <w:rsid w:val="00BF3FA7"/>
    <w:rsid w:val="00BF4D5D"/>
    <w:rsid w:val="00BF685C"/>
    <w:rsid w:val="00BF7FC9"/>
    <w:rsid w:val="00C00CDC"/>
    <w:rsid w:val="00C026C0"/>
    <w:rsid w:val="00C04C54"/>
    <w:rsid w:val="00C07F15"/>
    <w:rsid w:val="00C1212B"/>
    <w:rsid w:val="00C1386C"/>
    <w:rsid w:val="00C226E8"/>
    <w:rsid w:val="00C2389E"/>
    <w:rsid w:val="00C24E08"/>
    <w:rsid w:val="00C25FD1"/>
    <w:rsid w:val="00C26751"/>
    <w:rsid w:val="00C309CB"/>
    <w:rsid w:val="00C32489"/>
    <w:rsid w:val="00C324DB"/>
    <w:rsid w:val="00C35301"/>
    <w:rsid w:val="00C366A0"/>
    <w:rsid w:val="00C42E0B"/>
    <w:rsid w:val="00C50BBB"/>
    <w:rsid w:val="00C50CDC"/>
    <w:rsid w:val="00C52849"/>
    <w:rsid w:val="00C53675"/>
    <w:rsid w:val="00C62C2A"/>
    <w:rsid w:val="00C65579"/>
    <w:rsid w:val="00C6578F"/>
    <w:rsid w:val="00C6726B"/>
    <w:rsid w:val="00C67373"/>
    <w:rsid w:val="00C70293"/>
    <w:rsid w:val="00C720E7"/>
    <w:rsid w:val="00C74732"/>
    <w:rsid w:val="00C80D7E"/>
    <w:rsid w:val="00C81987"/>
    <w:rsid w:val="00C831A3"/>
    <w:rsid w:val="00C84216"/>
    <w:rsid w:val="00C844EE"/>
    <w:rsid w:val="00C84A6D"/>
    <w:rsid w:val="00C8640C"/>
    <w:rsid w:val="00C90AA6"/>
    <w:rsid w:val="00C90D27"/>
    <w:rsid w:val="00C944DF"/>
    <w:rsid w:val="00C951F9"/>
    <w:rsid w:val="00CA01E1"/>
    <w:rsid w:val="00CA0696"/>
    <w:rsid w:val="00CA13B4"/>
    <w:rsid w:val="00CA3354"/>
    <w:rsid w:val="00CA39DF"/>
    <w:rsid w:val="00CA4327"/>
    <w:rsid w:val="00CA530A"/>
    <w:rsid w:val="00CB0EE0"/>
    <w:rsid w:val="00CB190A"/>
    <w:rsid w:val="00CB3DA1"/>
    <w:rsid w:val="00CB4BBF"/>
    <w:rsid w:val="00CB7EE5"/>
    <w:rsid w:val="00CC031C"/>
    <w:rsid w:val="00CC2C60"/>
    <w:rsid w:val="00CC3D12"/>
    <w:rsid w:val="00CC404A"/>
    <w:rsid w:val="00CC4FD9"/>
    <w:rsid w:val="00CC7387"/>
    <w:rsid w:val="00CD2A31"/>
    <w:rsid w:val="00CD3CB7"/>
    <w:rsid w:val="00CD51D7"/>
    <w:rsid w:val="00CD72CE"/>
    <w:rsid w:val="00CD7BC8"/>
    <w:rsid w:val="00CE14C7"/>
    <w:rsid w:val="00CE1841"/>
    <w:rsid w:val="00CE2A7F"/>
    <w:rsid w:val="00CE324B"/>
    <w:rsid w:val="00CE3BC0"/>
    <w:rsid w:val="00CE48F1"/>
    <w:rsid w:val="00CE4B0B"/>
    <w:rsid w:val="00CE789B"/>
    <w:rsid w:val="00CF42DB"/>
    <w:rsid w:val="00CF4AE1"/>
    <w:rsid w:val="00CF7F35"/>
    <w:rsid w:val="00CF7F3A"/>
    <w:rsid w:val="00D03494"/>
    <w:rsid w:val="00D0462F"/>
    <w:rsid w:val="00D0654C"/>
    <w:rsid w:val="00D10208"/>
    <w:rsid w:val="00D12208"/>
    <w:rsid w:val="00D12E86"/>
    <w:rsid w:val="00D144F2"/>
    <w:rsid w:val="00D14EDB"/>
    <w:rsid w:val="00D17B4D"/>
    <w:rsid w:val="00D20620"/>
    <w:rsid w:val="00D24E1C"/>
    <w:rsid w:val="00D2721F"/>
    <w:rsid w:val="00D30197"/>
    <w:rsid w:val="00D301C1"/>
    <w:rsid w:val="00D31E19"/>
    <w:rsid w:val="00D324BA"/>
    <w:rsid w:val="00D328D0"/>
    <w:rsid w:val="00D33B32"/>
    <w:rsid w:val="00D34952"/>
    <w:rsid w:val="00D35C74"/>
    <w:rsid w:val="00D35D18"/>
    <w:rsid w:val="00D36130"/>
    <w:rsid w:val="00D36DA5"/>
    <w:rsid w:val="00D37AF6"/>
    <w:rsid w:val="00D37D49"/>
    <w:rsid w:val="00D40760"/>
    <w:rsid w:val="00D408FE"/>
    <w:rsid w:val="00D43928"/>
    <w:rsid w:val="00D45FF8"/>
    <w:rsid w:val="00D46027"/>
    <w:rsid w:val="00D46514"/>
    <w:rsid w:val="00D475D5"/>
    <w:rsid w:val="00D50816"/>
    <w:rsid w:val="00D52694"/>
    <w:rsid w:val="00D53AC4"/>
    <w:rsid w:val="00D5410A"/>
    <w:rsid w:val="00D5612B"/>
    <w:rsid w:val="00D5796A"/>
    <w:rsid w:val="00D61930"/>
    <w:rsid w:val="00D61D90"/>
    <w:rsid w:val="00D631E4"/>
    <w:rsid w:val="00D64259"/>
    <w:rsid w:val="00D64A58"/>
    <w:rsid w:val="00D652EA"/>
    <w:rsid w:val="00D658D8"/>
    <w:rsid w:val="00D65D7C"/>
    <w:rsid w:val="00D676AF"/>
    <w:rsid w:val="00D70832"/>
    <w:rsid w:val="00D720D3"/>
    <w:rsid w:val="00D75477"/>
    <w:rsid w:val="00D761A4"/>
    <w:rsid w:val="00D91CBC"/>
    <w:rsid w:val="00D93FD3"/>
    <w:rsid w:val="00D9563A"/>
    <w:rsid w:val="00D9707F"/>
    <w:rsid w:val="00D97233"/>
    <w:rsid w:val="00D9758E"/>
    <w:rsid w:val="00DA0425"/>
    <w:rsid w:val="00DA056C"/>
    <w:rsid w:val="00DA2F4B"/>
    <w:rsid w:val="00DA355A"/>
    <w:rsid w:val="00DA657B"/>
    <w:rsid w:val="00DA7AD1"/>
    <w:rsid w:val="00DB4267"/>
    <w:rsid w:val="00DB4537"/>
    <w:rsid w:val="00DB4E6F"/>
    <w:rsid w:val="00DB4F13"/>
    <w:rsid w:val="00DB56D8"/>
    <w:rsid w:val="00DB5D49"/>
    <w:rsid w:val="00DB6C01"/>
    <w:rsid w:val="00DB7100"/>
    <w:rsid w:val="00DC1447"/>
    <w:rsid w:val="00DC1A3B"/>
    <w:rsid w:val="00DC1BBE"/>
    <w:rsid w:val="00DC30F9"/>
    <w:rsid w:val="00DC4A04"/>
    <w:rsid w:val="00DC7E71"/>
    <w:rsid w:val="00DD2607"/>
    <w:rsid w:val="00DD2E74"/>
    <w:rsid w:val="00DD4C98"/>
    <w:rsid w:val="00DD5AB4"/>
    <w:rsid w:val="00DD6CCC"/>
    <w:rsid w:val="00DE1BA1"/>
    <w:rsid w:val="00DE1BAD"/>
    <w:rsid w:val="00DE6EFE"/>
    <w:rsid w:val="00DE7337"/>
    <w:rsid w:val="00DF0393"/>
    <w:rsid w:val="00DF0843"/>
    <w:rsid w:val="00DF0FE1"/>
    <w:rsid w:val="00DF1761"/>
    <w:rsid w:val="00DF2206"/>
    <w:rsid w:val="00E00FEB"/>
    <w:rsid w:val="00E01825"/>
    <w:rsid w:val="00E02186"/>
    <w:rsid w:val="00E02A28"/>
    <w:rsid w:val="00E02AEC"/>
    <w:rsid w:val="00E02CFB"/>
    <w:rsid w:val="00E03A95"/>
    <w:rsid w:val="00E044FE"/>
    <w:rsid w:val="00E05711"/>
    <w:rsid w:val="00E0612F"/>
    <w:rsid w:val="00E06A52"/>
    <w:rsid w:val="00E07AA8"/>
    <w:rsid w:val="00E07EF0"/>
    <w:rsid w:val="00E11B36"/>
    <w:rsid w:val="00E13D16"/>
    <w:rsid w:val="00E14C33"/>
    <w:rsid w:val="00E157CF"/>
    <w:rsid w:val="00E2082A"/>
    <w:rsid w:val="00E21881"/>
    <w:rsid w:val="00E250A3"/>
    <w:rsid w:val="00E252A4"/>
    <w:rsid w:val="00E25EFA"/>
    <w:rsid w:val="00E27438"/>
    <w:rsid w:val="00E27B57"/>
    <w:rsid w:val="00E27E63"/>
    <w:rsid w:val="00E30E2D"/>
    <w:rsid w:val="00E35B96"/>
    <w:rsid w:val="00E36E5E"/>
    <w:rsid w:val="00E46071"/>
    <w:rsid w:val="00E46DE2"/>
    <w:rsid w:val="00E5388C"/>
    <w:rsid w:val="00E61949"/>
    <w:rsid w:val="00E63C1C"/>
    <w:rsid w:val="00E63EF5"/>
    <w:rsid w:val="00E66E9A"/>
    <w:rsid w:val="00E73964"/>
    <w:rsid w:val="00E74034"/>
    <w:rsid w:val="00E82BEE"/>
    <w:rsid w:val="00E82C44"/>
    <w:rsid w:val="00E84730"/>
    <w:rsid w:val="00E85523"/>
    <w:rsid w:val="00E92632"/>
    <w:rsid w:val="00E94001"/>
    <w:rsid w:val="00E95ADB"/>
    <w:rsid w:val="00E95CB1"/>
    <w:rsid w:val="00EA25B1"/>
    <w:rsid w:val="00EB1712"/>
    <w:rsid w:val="00EB6186"/>
    <w:rsid w:val="00EB68E6"/>
    <w:rsid w:val="00EB7CC8"/>
    <w:rsid w:val="00EB7CF6"/>
    <w:rsid w:val="00EC2C42"/>
    <w:rsid w:val="00EC3CF0"/>
    <w:rsid w:val="00EC43AC"/>
    <w:rsid w:val="00EC5167"/>
    <w:rsid w:val="00EC5953"/>
    <w:rsid w:val="00EC5F0C"/>
    <w:rsid w:val="00EC7060"/>
    <w:rsid w:val="00ED0B17"/>
    <w:rsid w:val="00ED2872"/>
    <w:rsid w:val="00ED550C"/>
    <w:rsid w:val="00ED5BC7"/>
    <w:rsid w:val="00ED6E1A"/>
    <w:rsid w:val="00ED6FB6"/>
    <w:rsid w:val="00ED75AB"/>
    <w:rsid w:val="00ED7E7B"/>
    <w:rsid w:val="00EE303D"/>
    <w:rsid w:val="00EE4089"/>
    <w:rsid w:val="00EE4C0E"/>
    <w:rsid w:val="00EE4F0F"/>
    <w:rsid w:val="00EE5F42"/>
    <w:rsid w:val="00EF14A9"/>
    <w:rsid w:val="00EF183D"/>
    <w:rsid w:val="00EF2496"/>
    <w:rsid w:val="00EF303F"/>
    <w:rsid w:val="00EF4496"/>
    <w:rsid w:val="00EF44C2"/>
    <w:rsid w:val="00F002BC"/>
    <w:rsid w:val="00F00C35"/>
    <w:rsid w:val="00F011A0"/>
    <w:rsid w:val="00F02E30"/>
    <w:rsid w:val="00F02EB5"/>
    <w:rsid w:val="00F05285"/>
    <w:rsid w:val="00F11136"/>
    <w:rsid w:val="00F12820"/>
    <w:rsid w:val="00F149E2"/>
    <w:rsid w:val="00F149E9"/>
    <w:rsid w:val="00F1522C"/>
    <w:rsid w:val="00F16E21"/>
    <w:rsid w:val="00F16E5A"/>
    <w:rsid w:val="00F16FA7"/>
    <w:rsid w:val="00F17BFA"/>
    <w:rsid w:val="00F221B0"/>
    <w:rsid w:val="00F248E2"/>
    <w:rsid w:val="00F26944"/>
    <w:rsid w:val="00F26A21"/>
    <w:rsid w:val="00F26EBB"/>
    <w:rsid w:val="00F27910"/>
    <w:rsid w:val="00F3033B"/>
    <w:rsid w:val="00F30B88"/>
    <w:rsid w:val="00F3339C"/>
    <w:rsid w:val="00F33D93"/>
    <w:rsid w:val="00F405E5"/>
    <w:rsid w:val="00F4094A"/>
    <w:rsid w:val="00F418F9"/>
    <w:rsid w:val="00F41DE5"/>
    <w:rsid w:val="00F44D48"/>
    <w:rsid w:val="00F45A9E"/>
    <w:rsid w:val="00F4661D"/>
    <w:rsid w:val="00F477A6"/>
    <w:rsid w:val="00F5091A"/>
    <w:rsid w:val="00F511F6"/>
    <w:rsid w:val="00F53DA3"/>
    <w:rsid w:val="00F56BE6"/>
    <w:rsid w:val="00F62BD4"/>
    <w:rsid w:val="00F6476A"/>
    <w:rsid w:val="00F74644"/>
    <w:rsid w:val="00F83DC0"/>
    <w:rsid w:val="00F9008F"/>
    <w:rsid w:val="00F935CF"/>
    <w:rsid w:val="00F9459A"/>
    <w:rsid w:val="00F9655A"/>
    <w:rsid w:val="00FA13A8"/>
    <w:rsid w:val="00FA1A34"/>
    <w:rsid w:val="00FA726B"/>
    <w:rsid w:val="00FA7274"/>
    <w:rsid w:val="00FA791F"/>
    <w:rsid w:val="00FB24A1"/>
    <w:rsid w:val="00FB34E3"/>
    <w:rsid w:val="00FB55D4"/>
    <w:rsid w:val="00FC0975"/>
    <w:rsid w:val="00FC2140"/>
    <w:rsid w:val="00FC2A9F"/>
    <w:rsid w:val="00FC548A"/>
    <w:rsid w:val="00FC5E87"/>
    <w:rsid w:val="00FC6E2D"/>
    <w:rsid w:val="00FD09D1"/>
    <w:rsid w:val="00FD0E49"/>
    <w:rsid w:val="00FD1382"/>
    <w:rsid w:val="00FD1A72"/>
    <w:rsid w:val="00FD400C"/>
    <w:rsid w:val="00FD40EE"/>
    <w:rsid w:val="00FD7B00"/>
    <w:rsid w:val="00FE49B5"/>
    <w:rsid w:val="00FE4E53"/>
    <w:rsid w:val="00FE58ED"/>
    <w:rsid w:val="00FE61C2"/>
    <w:rsid w:val="00FE7003"/>
    <w:rsid w:val="00FF0B4B"/>
    <w:rsid w:val="00FF0FB1"/>
    <w:rsid w:val="00FF1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10595"/>
  <w15:docId w15:val="{20369194-C3EE-4865-86FA-FA98C4ECC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2F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15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1560"/>
  </w:style>
  <w:style w:type="paragraph" w:styleId="Stopka">
    <w:name w:val="footer"/>
    <w:basedOn w:val="Normalny"/>
    <w:link w:val="StopkaZnak"/>
    <w:uiPriority w:val="99"/>
    <w:unhideWhenUsed/>
    <w:rsid w:val="004915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1560"/>
  </w:style>
  <w:style w:type="paragraph" w:styleId="Tekstdymka">
    <w:name w:val="Balloon Text"/>
    <w:basedOn w:val="Normalny"/>
    <w:link w:val="TekstdymkaZnak"/>
    <w:uiPriority w:val="99"/>
    <w:semiHidden/>
    <w:unhideWhenUsed/>
    <w:rsid w:val="005D2A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2A3D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243D79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A1772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A1772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A1772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7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7720"/>
    <w:rPr>
      <w:b/>
      <w:bCs/>
      <w:sz w:val="20"/>
      <w:szCs w:val="20"/>
    </w:rPr>
  </w:style>
  <w:style w:type="paragraph" w:styleId="Akapitzlist">
    <w:name w:val="List Paragraph"/>
    <w:aliases w:val="Styl moj,Akapit z listą11,podpunkt ankietyy,Table Legend,Bullet1,List Paragraph1,List Paragraph,aotm_załączniki,Akapit z listą1,BulletPoints,5 - W tabeli,Dot pt,F5 List Paragraph,No Spacing1,List Paragraph Char Char Char,Indicator Text"/>
    <w:basedOn w:val="Normalny"/>
    <w:link w:val="AkapitzlistZnak"/>
    <w:uiPriority w:val="99"/>
    <w:qFormat/>
    <w:rsid w:val="001A18DE"/>
    <w:pPr>
      <w:ind w:left="720"/>
      <w:contextualSpacing/>
    </w:pPr>
  </w:style>
  <w:style w:type="paragraph" w:customStyle="1" w:styleId="Default">
    <w:name w:val="Default"/>
    <w:rsid w:val="00961A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locked/>
    <w:rsid w:val="00C8640C"/>
    <w:rPr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8640C"/>
    <w:pPr>
      <w:widowControl w:val="0"/>
      <w:shd w:val="clear" w:color="auto" w:fill="FFFFFF"/>
      <w:spacing w:after="60" w:line="248" w:lineRule="exact"/>
      <w:ind w:hanging="480"/>
    </w:pPr>
    <w:rPr>
      <w:sz w:val="18"/>
      <w:szCs w:val="18"/>
    </w:rPr>
  </w:style>
  <w:style w:type="paragraph" w:customStyle="1" w:styleId="TableParagraph">
    <w:name w:val="Table Paragraph"/>
    <w:basedOn w:val="Normalny"/>
    <w:uiPriority w:val="1"/>
    <w:qFormat/>
    <w:rsid w:val="00CA0696"/>
    <w:pPr>
      <w:widowControl w:val="0"/>
      <w:autoSpaceDE w:val="0"/>
      <w:autoSpaceDN w:val="0"/>
      <w:spacing w:after="0" w:line="240" w:lineRule="auto"/>
      <w:ind w:left="467"/>
    </w:pPr>
    <w:rPr>
      <w:rFonts w:ascii="Times New Roman" w:eastAsia="Times New Roman" w:hAnsi="Times New Roman" w:cs="Times New Roman"/>
      <w:lang w:val="en-US"/>
    </w:rPr>
  </w:style>
  <w:style w:type="character" w:customStyle="1" w:styleId="AkapitzlistZnak">
    <w:name w:val="Akapit z listą Znak"/>
    <w:aliases w:val="Styl moj Znak,Akapit z listą11 Znak,podpunkt ankietyy Znak,Table Legend Znak,Bullet1 Znak,List Paragraph1 Znak,List Paragraph Znak,aotm_załączniki Znak,Akapit z listą1 Znak,BulletPoints Znak,5 - W tabeli Znak,Dot pt Znak"/>
    <w:link w:val="Akapitzlist"/>
    <w:uiPriority w:val="99"/>
    <w:qFormat/>
    <w:locked/>
    <w:rsid w:val="002E4F9E"/>
  </w:style>
  <w:style w:type="character" w:customStyle="1" w:styleId="TeksttreciPogrubienie">
    <w:name w:val="Tekst treści + Pogrubienie"/>
    <w:basedOn w:val="Teksttreci"/>
    <w:rsid w:val="007A000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pl-PL" w:eastAsia="pl-PL" w:bidi="pl-PL"/>
    </w:rPr>
  </w:style>
  <w:style w:type="character" w:customStyle="1" w:styleId="identifier">
    <w:name w:val="identifier"/>
    <w:basedOn w:val="Domylnaczcionkaakapitu"/>
    <w:qFormat/>
    <w:rsid w:val="00CC4FD9"/>
  </w:style>
  <w:style w:type="paragraph" w:styleId="NormalnyWeb">
    <w:name w:val="Normal (Web)"/>
    <w:basedOn w:val="Normalny"/>
    <w:uiPriority w:val="99"/>
    <w:unhideWhenUsed/>
    <w:rsid w:val="00CC4FD9"/>
    <w:pPr>
      <w:spacing w:after="0" w:line="240" w:lineRule="auto"/>
    </w:pPr>
    <w:rPr>
      <w:rFonts w:ascii="Calibri" w:hAnsi="Calibri" w:cs="Calibri"/>
      <w:lang w:eastAsia="pl-PL"/>
    </w:rPr>
  </w:style>
  <w:style w:type="paragraph" w:styleId="Tekstpodstawowywcity">
    <w:name w:val="Body Text Indent"/>
    <w:basedOn w:val="Normalny"/>
    <w:link w:val="TekstpodstawowywcityZnak"/>
    <w:rsid w:val="000F2B9B"/>
    <w:pPr>
      <w:spacing w:after="0" w:line="240" w:lineRule="auto"/>
      <w:ind w:firstLine="426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F2B9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12638D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12638D"/>
    <w:rPr>
      <w:rFonts w:ascii="Calibri" w:hAnsi="Calibri"/>
      <w:szCs w:val="21"/>
    </w:rPr>
  </w:style>
  <w:style w:type="character" w:customStyle="1" w:styleId="cf01">
    <w:name w:val="cf01"/>
    <w:basedOn w:val="Domylnaczcionkaakapitu"/>
    <w:rsid w:val="002B3AD8"/>
    <w:rPr>
      <w:rFonts w:ascii="Segoe UI" w:hAnsi="Segoe UI" w:cs="Segoe UI" w:hint="default"/>
      <w:sz w:val="18"/>
      <w:szCs w:val="18"/>
      <w:shd w:val="clear" w:color="auto" w:fill="00FF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22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3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0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2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9A2186-F355-469D-B4B5-9BDB99792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2424</Words>
  <Characters>14544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Buras Magda</dc:creator>
  <cp:keywords/>
  <dc:description/>
  <cp:lastModifiedBy>Wilk Justyna</cp:lastModifiedBy>
  <cp:revision>3</cp:revision>
  <cp:lastPrinted>2023-02-05T13:50:00Z</cp:lastPrinted>
  <dcterms:created xsi:type="dcterms:W3CDTF">2024-12-10T08:16:00Z</dcterms:created>
  <dcterms:modified xsi:type="dcterms:W3CDTF">2024-12-11T13:44:00Z</dcterms:modified>
</cp:coreProperties>
</file>